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DAAJ/110/2024 vom 15. Juli 2024</w:t>
      </w:r>
    </w:p>
    <w:p>
      <w:r>
        <w:t>GE Cour de justice, 2024-07-15, FR</w:t>
      </w:r>
    </w:p>
    <w:p>
      <w:r>
        <w:rPr>
          <w:b/>
        </w:rPr>
        <w:t xml:space="preserve">Quelle: </w:t>
      </w:r>
      <w:r>
        <w:t>https://mcp.opencaselaw.ch/entscheid/ge_gerichte_DAAJ_110_2024</w:t>
      </w:r>
    </w:p>
    <w:p>
      <w:r>
        <w:t>FR: GE_GERICHTE DAAJ/110/2024 du 15 juillet 2024</w:t>
      </w:r>
    </w:p>
    <w:p>
      <w:r>
        <w:t>IT: GE_GERICHTE DAAJ/110/2024 del 15 luglio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- 5/10 -</w:t>
      </w:r>
    </w:p>
    <w:p>
      <w:r>
        <w:t>AC/3235/2022</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En l'occurrence, la recevabilité des pièces produites par la recourante peut rester indécise, dès lors ces pièces et les allégués de faits y relatifs ne sont pas déterminants pour l'issue du litige.</w:t>
      </w:r>
    </w:p>
    <w:p>
      <w:r>
        <w:rPr>
          <w:b/>
        </w:rPr>
        <w:t>E. 3</w:t>
      </w:r>
    </w:p>
    <w:p>
      <w:r>
        <w:t>Il n'y a pas lieu d'ordonner l'apport du dossier d'assistance juridique de la recourante, l'autorité précédente l'ayant d'ores et déjà remis à la Cour de céans.</w:t>
      </w:r>
    </w:p>
    <w:p>
      <w:r>
        <w:rPr>
          <w:b/>
        </w:rPr>
        <w:t>E. 4</w:t>
      </w:r>
    </w:p>
    <w:p>
      <w:r>
        <w:t>La recourante requiert l'octroi de l'assistance judiciaire pour la procédure de recours. Cette demande aurait dû être formulée auprès de la présidence du Tribunal civil (art. 1 al. 1 RAJ), de sorte que cette conclusion est irrecevable (DAAJ/7/2024 du 20 février 2024).</w:t>
      </w:r>
    </w:p>
    <w:p>
      <w:r>
        <w:rPr>
          <w:b/>
        </w:rPr>
        <w:t>E. 5.1</w:t>
      </w:r>
    </w:p>
    <w:p>
      <w:r>
        <w:t>La recourante reproche, en premier lieu, à la vice-présidence du Tribunal civil d'avoir procédé à un examen excessif concernant l'existence d'un déracinement culturel, en s'arrogeant les compétences dévolues à l'autorité d'appel et se substituant au juge du fond, alors qu'elle ne disposait pas de l'ensemble des pièces pertinentes, notamment les décisions rendues dans la procédure de mesures protectrices. Selon la recourante, le raisonnement consistant à déterminer l'existence d'un déracinement culturel exigerait un pouvoir d'appréciation dont cette autorité ne jouirait pas et nécessiterait une analyse minutieuse intégrant des aspects subjectifs liés au vécu individuel de la personne s'en prévalant.</w:t>
      </w:r>
    </w:p>
    <w:p>
      <w:r>
        <w:rPr>
          <w:b/>
        </w:rPr>
        <w:t>E. 5.1.1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- 6/10 -</w:t>
      </w:r>
    </w:p>
    <w:p>
      <w:r>
        <w:t>AC/3235/2022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5.1.2</w:t>
      </w:r>
    </w:p>
    <w:p>
      <w:r>
        <w:t>En l'espèce, la recourante ne saurait être suivie lorsqu'elle prétend que l'autorité précédente a outrepassé son pouvoir d'examen. En effet, il appartenait à cette instance, dans le cadre de son examen des chances de succès de l'appel contre le jugement de divorce déposé par la recourante, de confronter d'une manière sommaire le raisonnement du juge du divorce et les griefs soulevés par cette dernière, ce qu'elle a fait dans le respect de son pouvoir d'examen. Ce grief sera, dès lors, écarté.</w:t>
      </w:r>
    </w:p>
    <w:p>
      <w:r>
        <w:rPr>
          <w:b/>
        </w:rPr>
        <w:t>E. 5.2</w:t>
      </w:r>
    </w:p>
    <w:p>
      <w:r>
        <w:t>La recourante fait, en second lieu, valoir que son appel contre le jugement de divorce n'est pas dénué de chances de succès et que le mariage a influencé sa situation en raison de son déracinement culturel, dès lors que le Tribunal de première instance n'a pas tenu compte du fait qu'elle avait été arrachée à son environnement socio-culturel d'origine pour rejoindre son ex-époux, que ce dernier en avait profité pour imposer une mainmise économique et administrative sur tous les pans de sa vie sociale et privée, la plaçant dans un lien de dépendance et une soumission totale durant la vie conjugale. Le Tribunal de première instance avait, par ailleurs, faussement interprété son séjour en Tunisie comme un facteur d'intégration, alors qu'elle avait été contrainte d'y séjourner plus longtemps que prévu en raison des agissements de son ex-conjoint. Ce dernier n'avait pas hésité à la répudier en Jordanie, sans l'en informer et en la laissant dans le dénuement économique le plus complet. Au vu de ses arguments substantiels attestant d'un profond bouleversement de ses conditions d'existence générées par le mariage, il ne pouvait d'emblée être considéré que son appel apparaissait "ne pas tenir debout". Elle relève, par ailleurs, qu'une contribution d'entretien lui a été accordée tant sur mesures protectrices que sur mesures provisionnelles, malgré l'opposition de son ex- conjoint, qui plaidait la faible durée de la vie commune et le faible impact du mariage</w:t>
      </w:r>
    </w:p>
    <w:p>
      <w:r>
        <w:t>- 7/10 -</w:t>
      </w:r>
    </w:p>
    <w:p>
      <w:r>
        <w:t>AC/3235/2022 sur sa situation, et qu'elle avait également été mise au bénéfice de l'assistance juridique dans le cadre de ces procédures.</w:t>
      </w:r>
    </w:p>
    <w:p>
      <w:r>
        <w:rPr>
          <w:b/>
        </w:rPr>
        <w:t>E. 5.2.1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 Une contribution pourrait être due si le mariage a eu un impact décisif sur la vie de l'époux créancier et a concrètement influencé la situation financière de ce dernier ("lebensprägend").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 Lors de cet examen, plusieurs critères peuvent plaider en faveur ou en défaveur d'une présomption du caractère "lebensprägend", notamment la durée du mariage, la présence d'enfants et la répartition des tâches durant le mariage, le déracinement culturel de l'un des conjoints ou tout autre motif créant une position de confiance digne de protection, notamment une maladie durable (arrêt du Tribunal fédéral 5A_623/2012 du 28 janvier 2013 consid. 5.1). Le mariage provoque un déracinement culturel ou linguistique ouvrant le droit à une contribution d'entretien en cas de séparation lorsque l'époux demandeur en contribution a quitté son environnement culturel en vue ou en raison du mariage et qu'il dépend de son conjoint dans son nouvel environnement. Tel n'est pas le cas lorsque le conjoint déraciné peut, après la séparation, retourner dans son pays d'origine, s'y réintégrer facilement et y retrouver un emploi lui permettant d'assurer son autonomie et son niveau de vie (arrêts du Tribunal fédéral 5A_876/2016 du 19 juin 2017 consid. 4.2, 5A_844/2014 du 23 avril 2015 consid. 5).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w:t>
      </w:r>
    </w:p>
    <w:p>
      <w:r>
        <w:t>- 8/10 -</w:t>
      </w:r>
    </w:p>
    <w:p>
      <w:r>
        <w:t>AC/3235/2022 ancienne activité ou d'exercer une autre activité lucrative offrant des perspectives économiques équivalentes, alors que l'autre époux a pu se concentrer sur son avancement professionnel compte tenu de la répartition des tâches conjugales (ATF 148 III 161 consid. 4.2). Un tel mariage ne donne toutefois pas automatiquement droit à une contribution d'entretien. Selon la jurisprudence, le principe de l'autonomie prime le droit à l'entretien, ce qui se déduit directement de l'art. 125 CC (ATF 141 III 465 consid. 3.1). Un époux ne peut prétendre à une pension que s'il n'est pas en mesure de pourvoir lui-même à son entretien convenable (ATF 147 III 249 consid. 3.4.4; 141 III 465 consid. 3.1; 134 III 145 consid. 4; arrêt du Tribunal fédéral 5A_444/2021 du 9 mars 2022 consid. 3.1).</w:t>
      </w:r>
    </w:p>
    <w:p>
      <w:r>
        <w:rPr>
          <w:b/>
        </w:rPr>
        <w:t>E. 5.2.2</w:t>
      </w:r>
    </w:p>
    <w:p>
      <w:r>
        <w:t>In casu, le fait que la recourante se soit vue octroyer une contribution à son entretien sur mesures protectrices de l'union conjugale (non modifiée sur mesures provisionnelles faute de changement de circonstances) et qu'elle ait, dans ce cadre, été mise au bénéfice de l'assistance juridique ne lui est d'aucun secours, dès lors que l'examen de l'obligation d'entretien entre époux diffère en mesures protectrices et en divorce. En effet, dans le cadre du divorce, se pose la question de savoir si le mariage a concrètement influencé la situation financière de ce dernier (notamment en raison d'une déracinement culturel), question qui n'a pas été examinée dans les procédures précédentes. Pour le surplus, le raisonnement de l'autorité précédente est exempt de toute critique, en tant qu'il considère que le fait que la recourante n'ait pas pu rentrer en Suisse après le mariage de sa sœur en octobre 2019, mais seulement en janvier 2020, n'a aucune influence pour déterminer si le mariage a provoqué un déracinement culturel, cette période litigieuse ne représentant que deux mois sur les onze mois de vie commune des anciens conjoints. Il en va de même s'agissant des manœuvres et de la mainmise alléguées de son époux sur tous les aspects de sa vie (notamment des démarches de ce dernier pour lui trouver lui-même un emploi), de sa répudiation et du dénuement dans lequel la séparation l'aurait laissée, dans la mesure où elle a été en mesure de trouver par elle-même deux expériences professionnelles en qualité d'auxiliaire de santé et d'aide-soignante dans le cadre de la formation qu'elle a entreprise dès septembre 2021 à la Haute école F______. Enfin, la recourante ne formule aucun grief à l'encontre du raisonnement de l'instance précédente consistant à dire – à raison – que bien qu'elle ait quitté son emploi en Tunisie pour se marier et rejoindre son ex-époux en Suisse, elle est en mesure de trouver un même emploi qu'auparavant dans son pays d'origine, au vu de son diplôme, de son âge, de son expérience professionnelle et de la formation – dans son domaine d'activité – qu'elle suit actuellement en Suisse.</w:t>
      </w:r>
    </w:p>
    <w:p>
      <w:r>
        <w:t>- 9/10 -</w:t>
      </w:r>
    </w:p>
    <w:p>
      <w:r>
        <w:t>AC/3235/2022</w:t>
      </w:r>
    </w:p>
    <w:p>
      <w:r>
        <w:rPr>
          <w:b/>
        </w:rPr>
        <w:t>E. 5.3</w:t>
      </w:r>
    </w:p>
    <w:p>
      <w:r>
        <w:t>Au vu de ce qui précède, la vice-présidence du Tribunal civil était ainsi fondée à retenir que, de prime abord, il ne pouvait être considéré que le mariage avait provoqué un déracinement culturel et qu'en conséquence, les chances de succès de l'appel déposé par la recourante apparaissaient faibles, et à refuser l'assistance juridique pour ce motif. Partant, le recours, infondé, sera rejeté.</w:t>
      </w:r>
    </w:p>
    <w:p>
      <w:r>
        <w:rPr>
          <w:b/>
        </w:rPr>
        <w:t>E. 6</w:t>
      </w:r>
    </w:p>
    <w:p>
      <w:r>
        <w:t>Sauf exceptions non réalisées en l'espèce, il n'est pas perçu de frais judiciaires pour la procédure d'assistance juridique (art. 119 al. 6 CPC). Compte tenu de l'issue du litige, il n'y a pas lieu à l'octroi de dépens. * * * * *</w:t>
      </w:r>
    </w:p>
    <w:p>
      <w:r>
        <w:t>- 10/10 -</w:t>
      </w:r>
    </w:p>
    <w:p>
      <w:r>
        <w:t>AC/3235/2022 PAR CES MOTIFS, LA VICE-PRÉSIDENTE DE LA COUR : A la forme : Déclare recevable le recours formé le 29 juillet 2024 par A______ contre la décision rendue le 15 juillet 2024 par la vice-présidence du Tribunal civil dans la cause AC/3235/2022.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