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DAAJ/10/2019 vom 4. Oktober 2018</w:t>
      </w:r>
    </w:p>
    <w:p>
      <w:r>
        <w:t>GE Cour de justice, 2018-10-04, FR</w:t>
      </w:r>
    </w:p>
    <w:p>
      <w:r>
        <w:rPr>
          <w:b/>
        </w:rPr>
        <w:t xml:space="preserve">Quelle: </w:t>
      </w:r>
      <w:r>
        <w:t>https://mcp.opencaselaw.ch/entscheid/ge_gerichte_DAAJ_10_2019</w:t>
      </w:r>
    </w:p>
    <w:p>
      <w:r>
        <w:t>FR: GE_GERICHTE DAAJ/10/2019 du 4 octobre 2018</w:t>
      </w:r>
    </w:p>
    <w:p>
      <w:r>
        <w:t>IT: GE_GERICHTE DAAJ/10/2019 del 4 ottobre 2018</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la recourante n'a pas fait état en première instance - soit les problèmes de santé dont elle allègue souffrir - et les pièces nouvelles ne seront pas pris en considération.</w:t>
      </w:r>
    </w:p>
    <w:p>
      <w:r>
        <w:t>- 5/9 -</w:t>
      </w:r>
    </w:p>
    <w:p>
      <w:r>
        <w:t>AC/2801/2018</w:t>
      </w:r>
    </w:p>
    <w:p>
      <w:r>
        <w:rPr>
          <w:b/>
        </w:rPr>
        <w:t>E. 3</w:t>
      </w:r>
    </w:p>
    <w:p>
      <w:r>
        <w:t>3.1.1. Reprenant l'art. 29 al. 3 Cst., l'art. 117 CPC (cf également art. 10 al. 2 LPA)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3.1.2. L'art. 30 al. 1 let. b LEtr permet de déroger aux conditions d'admission en Suisse, telles que prévues aux art. 18 à 29 LEtr, notamment aux fins de tenir compte des cas individuels d'une extrême gravité ou d'intérêts publics majeurs. L'art. 31 al. 1 OASA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l'Etat de provenance (let. g).</w:t>
      </w:r>
    </w:p>
    <w:p>
      <w:r>
        <w:t>- 6/9 -</w:t>
      </w:r>
    </w:p>
    <w:p>
      <w:r>
        <w:t>AC/2801/2018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(ATF 123 II 125 consid. 5b/dd; ATA/25/2017 du 17 janvier 2017).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128 II 200 consid. 4; ATA/823/2015 du 11 août 2015; ATA/635/2015 du 16 juin 2015). L'autorité doit néanmoins procéder à l'examen de l'ensemble des circonstances du cas d'espèce pour déterminer l'existence d'un cas de rigueur (ATF 128 II 200 consid. 4; 124 II 110 consid. 2).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A cet égard, les relations de travail, d'amitié ou de voisinage que l'intéressé a pu nouer pendant son séjour ne constituent normalement pas des liens si étroits avec la Suisse qu'ils justifieraient une exception (ATF 130 II 39 consid. 3; 124 II 110 consid. 3; arrêts du TAF C-6956/2014 du 17 juillet 2015 consid. 6.1; ATA/823/2015 précité; ATA/635/2015 précité).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ait conservé des liens avec le pays d'origine, par exemple sur le plan familial, susceptibles de faciliter sa réintégration (arrêt du Tribunal fédéral 2A.543/2001 du 25 avril 2002</w:t>
      </w:r>
    </w:p>
    <w:p>
      <w:r>
        <w:t>- 7/9 -</w:t>
      </w:r>
    </w:p>
    <w:p>
      <w:r>
        <w:t>AC/2801/2018 consid. 5.2; arrêts du TAF C-5414/2013 du 30 juin 2015 consid. 5.1.4; ATA/823/2015 précité; ATA/635/2015 précité). 3.1.3. Selon l'art. 64 al. 1 let. c LEtr, tout étranger dont l'autorisation est refusée, révoquée ou qui n'est pas prolongée après un séjour autorisé est renvoyé. La décision de renvoi est assortie d'un délai de départ raisonnable (art. 64d al. 1 LEtr). Le renvoi d'un étranger ne peut être ordonné que si l'exécution en est possible, licite ou raisonnablement exigible (art. 83 al. 1 LEtr). Dans le cas contraire, une admission provisoire peut être prononcée. L'exécution du renvoi n'est notamment pas licite lorsqu'il serait contraire aux engagements internationaux de la Suisse (art. 83 al. 3 LEtr) et n'est pas raisonnablement exigible s'il met concrètement en danger l'étranger (art. 83 al. 4 LEtr; arrêt du Tribunal administratif fédéral E_5594/2017 du 22 novembre 2018 consid. 8.2). Le Tribunal administratif fédéral considère que l'exécution du renvoi d'une femme seule en Ethiopie n'est raisonnablement exigible qu'en cas de circonstances favorables permettant de garantir qu'à son retour, elle ne se retrouvera pas dépourvue des ressources au point de voir sa vie mise en danger compte tenu des conditions d'existence extrêmement difficiles auxquelles doit faire face la majorité de la population éthiopienne, et de la discrimination des femmes sur le marché du travail. Les chances de réinsertion professionnelle et sociale des femmes en Ethiopie dépendent en effet de plusieurs facteurs, dont l'existence d'une formation professionnelle, d'une bonne santé, de la possibilité d'accéder à des ressources suffisantes et, avant tout, de la présence d'un soutien familial et social, à défaut desquels il leur sera très difficile de trouver un logement et d'assurer leur survie quotidienne (ATAF 2011/25 du 7 juillet 2011 consid. 8.3 à 8.5; arrêt du Tribunal administratif fédéral E_5594/2017 du 22 novembre 2018 consid. 8.5). 3.1.4 En procédure administrative genevoise, le recours peut être formé pour violation du droit, y compris l'excès et l'abus du pouvoir d'appréciation (art. 61 al. 1 let. a LPA), ou pour constatation inexacte ou incomplète des faits pertinents (art. 61 al. 1 let. b LPA). En revanche, les juridictions administratives n'ont pas compétence pour apprécier l'opportunité de la décision attaquée, sauf exception prévue par la loi (art. 61 al. 2 LPA). 3.2.1 En l'espèce, la recourante reproche uniquement au Vice-président du Tribunal civil d'avoir mésestimé son âge et faussement retenu qu'elle avait travaillé en Ethiopie alors qu'elle n'avait travaillé qu'au Liban. Or, même en tenant compte du fait que la recourante serait plus jeune de quelques années, il n'en reste pas moins que la situation de la recourante, envisagée dans sa globalité, ne semble pas constitutive d'une situation personnelle d'extrême gravité au vu de la jurisprudence susmentionnée puis qu'elle ne dispose pas de famille en Suisse, exerce un métier qu'elle pourrait pratiquer en Ethiopie et n'est pas atteinte d'une maladie grave qui ne pourrait pas être traité dans son pays d'origine.</w:t>
      </w:r>
    </w:p>
    <w:p>
      <w:r>
        <w:t>- 8/9 -</w:t>
      </w:r>
    </w:p>
    <w:p>
      <w:r>
        <w:t>AC/2801/2018 En revanche, le reproche adressé à l'OCPM par la recourante de ne pas avoir examiné les conséquences sur la possibilité d'exécuter le renvoi du fait qu'elle ne disposerait pas en Ethiopie de famille capable de la soutenir n'apparaît pas d'emblée comme infondé. En effet, si comme le fait valoir la recourante, elle ne dispose plus de famille masculine capable de l'aider en Ethiopie, étant relevé que la décision de l'OCPM n'indique pas le contraire, il n'est pas à exclure que le TAPI puisse, en application de la jurisprudence du Tribunal fédéral, considérer que le renvoi de la recourante ne puisse pas être raisonnablement exigé. Au vu de ce qui précède, le recours formé par la recourante auprès du TAPI n'est pas totalement dénué de chances de succès s'agissant de son admission provisoire.</w:t>
      </w:r>
    </w:p>
    <w:p>
      <w:r>
        <w:rPr>
          <w:b/>
        </w:rPr>
        <w:t>E. 3.3</w:t>
      </w:r>
    </w:p>
    <w:p>
      <w:r>
        <w:t>Le recours sera dès lors admis, la décision querellée annulée et la cause renvoyée au Vice-président du Tribunal civil pour instruction complémentaire sur les conditions d'indigence, non examinées par ce dernier, puis nouvelle décision.</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DAAJ/112/2016 du 13 septembre 2016; DAAJ/34/2013 du 30 avril 2013 consid. 3). * * * * *</w:t>
      </w:r>
    </w:p>
    <w:p>
      <w:r>
        <w:t>- 9/9 -</w:t>
      </w:r>
    </w:p>
    <w:p>
      <w:r>
        <w:t>AC/2801/2018 PAR CES MOTIFS, LE VICE-PRÉSIDENT DE LA COUR : A la forme : Déclare recevable le recours formé le 22 octobre 2018 par A______ contre la décision rendue le 4 octobre 2018 par le Vice-président du Tribunal civil dans la cause AC/2801/2018. Au fond : Annule la décision entreprise. Cela fait : Renvoie la cause au Vice-président du Tribunal civil pour instruction complémentaire et nouvelle décision. Déboute A______ de toutes autres conclusions. Dit qu'il n'est pas perçu de frais judiciaires pour le recours, ni alloué de dépens. Notifie une copie de la présente décision à A______ en l'étude de Me Mélanie MATHYS DONZE (art. 137 CPC). Siégeant : Monsieur Patrick CHENAUX, Vice-président; Madame Maïté VALENTE, greffière. Le Vice-président : Patrick CHENAUX</w:t>
      </w:r>
    </w:p>
    <w:p>
      <w:r>
        <w:t>La greffière : Maïté VALENTE</w:t>
      </w:r>
    </w:p>
    <w:p>
      <w:r>
        <w:t>Indication des voies de recours :</w:t>
      </w:r>
    </w:p>
    <w:p>
      <w:r>
        <w:t>La présente décision incidente peut être portée dans les trente jours qui suivent sa notification par-devant le Tribunal fédéral par la voie du recours constitutionnel subsidiaire (cf. art. 83 let. c LTF), aux conditions posées par les art. 113 ss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