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DAAJ/109/2015 vom 1. Oktober 2015</w:t>
      </w:r>
    </w:p>
    <w:p>
      <w:r>
        <w:t>GE Cour de justice, 2015-10-01, FR</w:t>
      </w:r>
    </w:p>
    <w:p>
      <w:r>
        <w:rPr>
          <w:b/>
        </w:rPr>
        <w:t xml:space="preserve">Quelle: </w:t>
      </w:r>
      <w:r>
        <w:t>https://mcp.opencaselaw.ch/entscheid/ge_gerichte_DAAJ_109_2015</w:t>
      </w:r>
    </w:p>
    <w:p>
      <w:r>
        <w:t>FR: GE_GERICHTE DAAJ/109/2015 du 1 octobre 2015</w:t>
      </w:r>
    </w:p>
    <w:p>
      <w:r>
        <w:t>IT: GE_GERICHTE DAAJ/109/2015 del 1 ottobre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la pièce nouvelle ne seront pas pris en considération.</w:t>
      </w:r>
    </w:p>
    <w:p>
      <w:r>
        <w:rPr>
          <w:b/>
        </w:rPr>
        <w:t>E. 3.1</w:t>
      </w:r>
    </w:p>
    <w:p>
      <w:r>
        <w:t>Toute personne qui ne dispose pas de ressources suffisantes a droit à l'assistance judiciaire à moins que sa cause paraisse dépourvue de toute chance de succès (art. 117 CPC; art. 29 al. 3 Cst.).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w:t>
      </w:r>
    </w:p>
    <w:p>
      <w:r>
        <w:t>- 5/6 -</w:t>
      </w:r>
    </w:p>
    <w:p>
      <w:r>
        <w:t>AC/2168/2015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w:t>
      </w:r>
    </w:p>
    <w:p>
      <w:r>
        <w:rPr>
          <w:b/>
        </w:rPr>
        <w:t>E. 3.2</w:t>
      </w:r>
    </w:p>
    <w:p>
      <w:r>
        <w:t>En l'espèce, outre le fait que la procédure de modification des mesures protectrices de l'union conjugale devant le Tribunal de première instance est régie par la maxime d’office (art. 272 CPC), la situation du recourant ne présente apparemment pas de difficultés particulières. Il ne lui est donc pas nécessaire de disposer de connaissances ou de compétences spécifiques pour exposer au juge – en personne ou avec l'aide d'un organisme à vocation sociale – les changements intervenus dans sa situation professionnelle et familiale (notamment la naissance d'enfants issus de sa nouvelle relation, ainsi que son déménagement) depuis le prononcé du premier jugement. Ainsi, au vu des principes rappelés ci-dessus, c'est donc à bon droit que l'Autorité de première instance a considéré qu'aucune circonstance particulière ne rendait indispensable la nomination d'un avocat. Ce qui précède scelle le sort du recours. Dès lors, la question de savoir si le recourant devrait privilégier la voie du divorce avec demande de mesures provisionnelles au lieu d'initier une procédure de modification des mesures protectrices de l'union conjugale peut demeurer indécise. Pour le surplus, la conclusion subsidiaire du recourant tendant à l'octroi d'une assistance juridique partielle limitée aux frais est sans objet, dès lors que l'avance de frais requise par le Tribunal de première instance a d'ores et déjà été acquittée. Compte tenu de ce qui précède, le recours, infondé, sera rejeté.</w:t>
      </w:r>
    </w:p>
    <w:p>
      <w:r>
        <w:rPr>
          <w:b/>
        </w:rPr>
        <w:t>E. 4</w:t>
      </w:r>
    </w:p>
    <w:p>
      <w:r>
        <w:t>Sauf exceptions non réalisées en l'espèce, il n'est pas perçu de frais judiciaires pour la procédure d'assistance juridique (art. 119 al. 6 CPC). * * * * *</w:t>
      </w:r>
    </w:p>
    <w:p>
      <w:r>
        <w:t>- 6/6 -</w:t>
      </w:r>
    </w:p>
    <w:p>
      <w:r>
        <w:t>AC/2168/2015 PAR CES MOTIFS, LE VICE-PRÉSIDENT DE LA COUR : A la forme : Déclare recevable le recours formé par A______ contre la décision rendue le 1er octobre 2015 par le Vice-président du Tribunal civil dans la cause AC/2168/2015. Au fond : Le rejette. Déboute A______ de toutes autres conclusions. Dit qu'il n'est pas perçu de frais judiciaires pour le recours. Notifie une copie de la présente décision à A______ en l'Étude de Me Elodie SKOULIKAS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