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DAAJ/107/2024 vom 2. Juli 2024</w:t>
      </w:r>
    </w:p>
    <w:p>
      <w:r>
        <w:t>GE Cour de justice, 2024-07-02, FR</w:t>
      </w:r>
    </w:p>
    <w:p>
      <w:r>
        <w:rPr>
          <w:b/>
        </w:rPr>
        <w:t xml:space="preserve">Quelle: </w:t>
      </w:r>
      <w:r>
        <w:t>https://mcp.opencaselaw.ch/entscheid/ge_gerichte_DAAJ_107_2024</w:t>
      </w:r>
    </w:p>
    <w:p>
      <w:r>
        <w:t>FR: GE_GERICHTE DAAJ/107/2024 du 2 juillet 2024</w:t>
      </w:r>
    </w:p>
    <w:p>
      <w:r>
        <w:t>IT: GE_GERICHTE DAAJ/107/2024 del 2 luglio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Bien que l'art. 321 al. 1 CPC exige uniquement que le recours soit écrit et motivé, celui- ci doit également contenir des conclusions, à l'instar de l'acte introductif d'instance (art. 221 al. 1 let. b CPC). L'interdiction du formalisme excessif commande toutefois de ne pas se montrer trop strict dans la formulation des conclusions si, à la lecture du mémoire, on comprend clairement ce que veut le recourant (arrêts du Tribunal fédéral 5A_127/2020 du 22 avril 2021 consid. 1.2; 5A_866/2015 du 2 mai 2016 consid. 1.2).</w:t>
      </w:r>
    </w:p>
    <w:p>
      <w:r>
        <w:rPr>
          <w:b/>
        </w:rPr>
        <w:t>E. 1.2</w:t>
      </w:r>
    </w:p>
    <w:p>
      <w:r>
        <w:t>En l'espèce, même si elle n'y conclut pas formellement, on comprend que la recourante, agissant en personne, sollicite l'annulation de la décision entreprise et sa mise au bénéfice de l'assistance juridique. Le recours a été déposé dans le délai utile et selon la forme prescrite par la loi, sous réserve de l'exigence de motivation du recours qui fait l'objet du considérant suivant.</w:t>
      </w:r>
    </w:p>
    <w:p>
      <w:r>
        <w:t>- 4/5 -</w:t>
      </w:r>
    </w:p>
    <w:p>
      <w:r>
        <w:t>AC/883/2024</w:t>
      </w:r>
    </w:p>
    <w:p>
      <w:r>
        <w:rPr>
          <w:b/>
        </w:rPr>
        <w:t>E. 2.1</w:t>
      </w:r>
    </w:p>
    <w:p>
      <w:r>
        <w:t>Lorsque la Cour est saisie d'un recours,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(DAAJ/139/2016 consid. 1.2). La juridiction de recours n'entre pas en matière sur un acte ne contenant aucune motivation par laquelle il est possible de discerner en quoi la juridiction inférieure a erré (art. 320 let. a et b CPC).</w:t>
      </w:r>
    </w:p>
    <w:p>
      <w:r>
        <w:rPr>
          <w:b/>
        </w:rPr>
        <w:t>E. 2.2</w:t>
      </w:r>
    </w:p>
    <w:p>
      <w:r>
        <w:t>En l'occurrence, le recours ne respecte pas les conditions de motivation imposées par la loi et ce même en faisant preuve d'indulgence à l'égard d'un plaideur procédant en personne. En effet, l'acte de recours ne contient pas de motivation suffisante permettant de comprendre en quoi la vice-présidence du Tribunal civil aurait établi les faits de manière arbitraire et quelle violation de la loi lui est reprochée, dans la mesure où la recourante se limite à s'exprimer sur la position, selon elle, critiquable du Tribunal de protection à l'égard de la famille élargie et la nécessité d'instaurer des relations personnelles dans l'intérêt des mineurs, et où elle ne formule aucun grief à l'encontre de la décision entreprise.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w:t>
      </w:r>
    </w:p>
    <w:p>
      <w:r>
        <w:t>- 5/5 -</w:t>
      </w:r>
    </w:p>
    <w:p>
      <w:r>
        <w:t>AC/883/2024 PAR CES MOTIFS, LA VICE-PRÉSIDENTE DE LA COUR : Déclare irrecevable le recours formé par A______ contre la décision rendue le 2 juillet 2024 par la vice-présidence du Tribunal civil dans la cause AC/883/2024.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