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DAAJ/107/2022 vom 24. August 2022</w:t>
      </w:r>
    </w:p>
    <w:p>
      <w:r>
        <w:t>GE Cour de justice, 2022-08-24, FR</w:t>
      </w:r>
    </w:p>
    <w:p>
      <w:r>
        <w:rPr>
          <w:b/>
        </w:rPr>
        <w:t xml:space="preserve">Quelle: </w:t>
      </w:r>
      <w:r>
        <w:t>https://mcp.opencaselaw.ch/entscheid/ge_gerichte_DAAJ_107_2022</w:t>
      </w:r>
    </w:p>
    <w:p>
      <w:r>
        <w:t>FR: GE_GERICHTE DAAJ/107/2022 du 24 août 2022</w:t>
      </w:r>
    </w:p>
    <w:p>
      <w:r>
        <w:t>IT: GE_GERICHTE DAAJ/107/2022 del 24 agosto 2022</w:t>
      </w:r>
    </w:p>
    <w:p>
      <w:pPr>
        <w:pStyle w:val="Heading2"/>
      </w:pPr>
      <w:r>
        <w:t>Erwägungen</w:t>
      </w:r>
    </w:p>
    <w:p>
      <w:r>
        <w:rPr>
          <w:b/>
        </w:rPr>
        <w:t>E. 1.1</w:t>
      </w:r>
    </w:p>
    <w:p>
      <w:r>
        <w:t>En tant qu'elle refuse l'assistance juridique, la décision entreprise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- 4/7 -</w:t>
      </w:r>
    </w:p>
    <w:p>
      <w:r>
        <w:t>AC/2144/2022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conteste que sa cause soit dépourvue de toute chance de succès. Elle fait valoir que son licenciement pour raison économique était abusif et invoque également des recrutements abusifs effectués par la filiale suisse rattachée à H______ BV, enregistrée aux Pays-Bas. La recourante aurait été empêchée de mener une carrière en Suisse dans le secteur de l'horlogerie et la joaillerie de luxe en ayant été forcée à tout perdre, poussée à bout et discréditée publiquement. Elle conteste n'avoir produit que deux pièces pertinentes sur le dossier remis à l'Assistance juridique.</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rPr>
          <w:b/>
        </w:rPr>
        <w:t>E. 2.1.1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Lorsque la valeur litigieuse de l'action est légèrement excessive, l'assistance judiciaire doit être accordée. Ce n'est qu'en cas d'action manifestement excessive et massive que la requête d'assistance judiciaire doit être qualifiée globalement de vouée à l'échec. Il n'y a pas de place pour un octroi partiel à hauteur de la créance qui pourrait être admise (ATF 142 III 138 consid. 5.7). Il n'est en effet pas acceptable que la partie dans le besoin poursuive une valeur litigieuse exagérée aux frais du contribuable et génère ainsi des frais manifestement inutiles (ATF 142 III 138 consid. 5.7).</w:t>
      </w:r>
    </w:p>
    <w:p>
      <w:r>
        <w:rPr>
          <w:b/>
        </w:rPr>
        <w:t>E. 2.1.2</w:t>
      </w:r>
    </w:p>
    <w:p>
      <w:r>
        <w:t>La qualité pour défendre (ou légitimation passive) appartient aux conditions matérielles de la prétention litigieuse, lesquelles se déterminent selon le droit au fond et</w:t>
      </w:r>
    </w:p>
    <w:p>
      <w:r>
        <w:t>- 5/7 -</w:t>
      </w:r>
    </w:p>
    <w:p>
      <w:r>
        <w:t>AC/2144/2022 dont le défaut conduit au rejet de l'action (ATF 142 III 782 consid. 3.1.4, 138 III 537 consid. 2.2.1; 125 III 82 consid. 1a; 114 II 345 consid. 3a; arrêt du Tribunal fédéral 5A_212/2020 du 26 janvier 2022 consid. 4). En principe, la qualité pour défendre appartient à celui qui est l'obligé du droit et contre qui est dirigée l'action du demandeur (arrêts du Tribunal fédéral 5A_398/2017 du 28 août 2017 consid. 4.1.3 et 4A_560/2015 du 20 mai 2016 consid. 4.1.1; ACJC/1093/3032 du 1er septembre 2021 consid. 3.1.1). La question de la légitimation active ou passive d'une partie au litige relève du droit matériel et elle est examinée d'office, à tous les stades de la procédure (ATF 139 III 504 consid. 1.2 et 126 III 59 consid. 1a). En principe, les sociétés dominées (ou sociétés-filles) appartenant à un groupe soumis à une direction économique unique peuvent se prévaloir de leur indépendance juridique par rapport à la société dominante (ou société-mère). Toutefois, le voile social peut être levé et l'identité économique avec la société dominante être invoquée (Durchgriff) lorsque le fait d'opposer l'indépendance juridique des deux entités constitue un abus de droit (art. 2 CC; cf. ATF 137 III 550 consid. 2.3.1 et 132 III 489 consid. 3.2). 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(ATF 137 III 550 consid. 2.3.2).</w:t>
      </w:r>
    </w:p>
    <w:p>
      <w:r>
        <w:rPr>
          <w:b/>
        </w:rPr>
        <w:t>E. 2.2</w:t>
      </w:r>
    </w:p>
    <w:p>
      <w:r>
        <w:t>2.2.1 En l'espèce, la demande en paiement de la recourante est exorbitante, s'agissant du montant total réclamé en 2'851'147 fr. 83, en particulier au regard de la modestie de son salaire qui s'élevait à 3'200 EUR par mois selon le contrat de travail produit. De plus, les prétentions de la recourante concernent apparemment la période de 2016 à 2022, soit postérieurement au terme de son contrat de travail, qui a apparemment pris fin en octobre 2015 selon l'attestation qu'elle a elle-même versée à la procédure. La recourante n'explique pas en quoi ses prétentions pour la période ultérieure seraient justifiées. Par conséquent, la Vice-présidente du Tribunal pouvait valablement, dans ces conditions, considérer que les chances de succès de la recourante étaient globalement nulles et le recours doit être rejeté pour ces motifs déjà.</w:t>
      </w:r>
    </w:p>
    <w:p>
      <w:r>
        <w:rPr>
          <w:b/>
        </w:rPr>
        <w:t>E. 2.2.2</w:t>
      </w:r>
    </w:p>
    <w:p>
      <w:r>
        <w:t>A cela s'ajoute qu'en l'espèce, la recourante a été engagée par C______ S.A./N.V. D______[Belgique], mais elle a assigné B______ Sàrl Genève en paiement et affirme que celle-ci est "une filiale suisse rattachée à H______ BV", enregistrée aux Pays-Bas. Or, elle n'expose pas en quoi la société B______ Sàrl Genève et son ancienne employeuse C______ S.A./N.V. D______[Belgique] se confondraient et devraient être considérées comme une seule et unique entité. Au contraire, ces sociétés n'ont pas de sièges sociaux identiques puisqu'ils sont situés dans des pays différents, l'un en Suisse et</w:t>
      </w:r>
    </w:p>
    <w:p>
      <w:r>
        <w:t>- 6/7 -</w:t>
      </w:r>
    </w:p>
    <w:p>
      <w:r>
        <w:t>AC/2144/2022 l'autre en Belgique, de sorte qu'elles forment a priori des sociétés juridiquement distinctes l'une de l'autre. En tout état de cause, la recourante n'apporte aucun argument venant contredire cette conclusion. Par conséquent, en assignant B______ Sàrl Genève en paiement plutôt que son ancienne employeuse C______ S.A./N.V. D______[Belgique], la recourante a dirigé son action contre une entité a priori dépourvue de la légitimation passive, respectivement de la qualité pour défendre. C'est, dès lors, avec raison que la Vice-présidente du Tribunal a considéré que la cause de la recourante paraissait vouée à l'échec en l'absence de légitimation passive, respectivement de qualité pour défendre de B______ Sàrl Genève. Partant, le recours, infondé, sera rejeté.</w:t>
      </w:r>
    </w:p>
    <w:p>
      <w:r>
        <w:rPr>
          <w:b/>
        </w:rPr>
        <w:t>E. 3</w:t>
      </w:r>
    </w:p>
    <w:p>
      <w:r>
        <w:t>Sauf exceptions non réalisées en l'espèce, il n'est pas perçu de frais judiciaires pour la procédure d'assistance juridique (art. 119 al. 6 CPC). Il n'y a pas lieu à l'octroi de dépens.</w:t>
      </w:r>
    </w:p>
    <w:p>
      <w:r>
        <w:t>- 7/7 -</w:t>
      </w:r>
    </w:p>
    <w:p>
      <w:r>
        <w:t>AC/2144/2022 * * * * * PAR CES MOTIFS, LA VICE-PRÉSIDENTE DE LA COUR : A la forme : Déclare recevable le recours formé par A______ contre la décision rendue le 24 août 2022 par la Vice-présidente du Tribunal de première instance dans la cause AC/2144/2022. Au fond : Rejette le recours.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