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DAAJ/106/2019 vom 15. Juli 2019</w:t>
      </w:r>
    </w:p>
    <w:p>
      <w:r>
        <w:t>GE Cour de justice, 2019-07-15, FR</w:t>
      </w:r>
    </w:p>
    <w:p>
      <w:r>
        <w:rPr>
          <w:b/>
        </w:rPr>
        <w:t xml:space="preserve">Quelle: </w:t>
      </w:r>
      <w:r>
        <w:t>https://mcp.opencaselaw.ch/entscheid/ge_gerichte_DAAJ_106_2019</w:t>
      </w:r>
    </w:p>
    <w:p>
      <w:r>
        <w:t>FR: GE_GERICHTE DAAJ/106/2019 du 15 juillet 2019</w:t>
      </w:r>
    </w:p>
    <w:p>
      <w:r>
        <w:t>IT: GE_GERICHTE DAAJ/106/2019 del 15 luglio 2019</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de la présidente de la Cour de justice (art. 121 CPC et 21 al. 3 LaCC), compétence expressément déléguée au vice-président soussigné sur la base des art. 29 al.</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 2. 2.1. Une nouvelle requête d'assistance juridique, fondée sur le même état de fait, a le caractère d'une requête de reconsidération. La Constitution n'accorde pas de droit à ce qu'elle soit jugée. La situation n'est différente que si depuis le prononcé sur la première requête, les circonstances se sont modifiées. La recevabilité d'une nouvelle requête d'assistance judiciaire fondée sur une modification des circonstances résulte du fait que la décision d'octroi ou de refus de l'assistance judiciaire est une ordonnance d'instruction qui n'entre en force de chose jugée que formelle, et non matérielle. Cette pratique, développée en relation avec l'art. 29 al. 3 Cst., reste aussi applicable dans le cadre des</w:t>
      </w:r>
    </w:p>
    <w:p>
      <w:r>
        <w:t>- 4/6 -</w:t>
      </w:r>
    </w:p>
    <w:p>
      <w:r>
        <w:t>AC/3723/2017 art. 117 ss. CPC (arrêts du Tribunal fédéral 6B_752/2017 du 18 janvier 2018 consid. 2 et 4A_410/2013 du 5 décembre 2013 consid. 3.2). Lorsque le requérant formule une véritable demande de reconsidération (Wieder- erwägungsgesuch), c'est-à-dire lorsqu'il ne fait pas valoir d'éléments nouveaux, mais demande simplement à l'autorité de modifier sa décision, l'autorité peut accéder à cette demande; elle n'a toutefois pas l'obligation de le faire. En d'autres termes, le requérant n'a pas de droit à obtenir une nouvelle décision. En revanche, si le requérant fait valoir une modification des circonstances, l'autorité doit examiner sa requête. Elle doit d'abord vérifier s'il y a effectivement des circonstances nouvelles; dans cette hypothèse, elle doit alors entrer en matière sur la demande et examiner si ces éléments nouveaux justifient de modifier la décision initiale (arrêt du Tribunal fédéral 5A_403/2015 du 28 août 2015 consid. 7.2). 2.2. Aux termes de l'art. 5 al. 1 RAJ, l'assistance juridique est en principe octroyée avec effet au jour du dépôt de la requête. Elle est exceptionnellement accordée avec effet rétroactif (art. 119 al. 4 CPC et 8 al. 3 RAJ). La jurisprudence fédérale admet, avec la doctrine majoritaire,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Une partie qui, pour toutes sortes de raisons, procède grâce au crédit d'un tiers ou de son avocat, bien qu'elle eût pu exiger l'assistance judiciaire gratuite, ne peut en aucun cas s'attendre - sur la base de l'art. 29 al. 3 Cst. - à ce que l'Etat assume plus tard la charge de ses frais judiciaires de manière rétroactive (ATF 122 I 203 consid. 2c-g, in JdT 1997 I 604, arrêts du Tribunal fédéral 5A_849/2014 du 30 mars 2015 consid. 4.5 et 5A_181/2012 du 27 juin 2012 consid. 2.3.3). 2.3. En l'espèce, contrairement à ce qu’a retenu l’autorité de première instance, la demande de la recourante ne constituait pas à proprement parler une demande de reconsidération, puisqu’elle n’était pas fondée sur le même état de fait que sa demande initiale d’assistance juridique. Le dépassement du quota d’heures d’activité d’avocat alloué par décision du 2 janvier 2018 constituait bien un fait nouveau justifiant qu’il soit entré en matière sur la demande d’extension sollicitée. Cela étant, la recourante perd de vue que toute demande d’assistance juridique, même dans le cas d’une extension du nombre d’heures d’activité d’avocat, est soumise au principe de non-rétroactivité, conformément aux règles rappelées ci-dessus. S'il est certes possible, à titre exceptionnel, d'accorder l'assistance juridique avec effet rétroactif, cela ne dispense pas le justiciable souhaitant en bénéficier de fournir les</w:t>
      </w:r>
    </w:p>
    <w:p>
      <w:r>
        <w:t>- 5/6 -</w:t>
      </w:r>
    </w:p>
    <w:p>
      <w:r>
        <w:t>AC/3723/2017 éléments pertinents permettant au juge d'estimer le bien-fondé d'une telle dérogation. Or, la recourante a requis l'extension de l'assistance juridique au moment où le décompte d’heures de son avocat faisait état de plus de 95 heures de travail, sans expliquer les motifs qui l'ont conduite à déposer sa demande de manière tardive. Elle n'a en particulier pas soutenu avoir été, en raison d'une situation d'urgence, dans l'impossibilité de déposer sa requête d’extension déjà au terme des 15 heures d'activité (hors audiences, courriers et téléphones) octroyées par la décision du 2 janvier 2018. Compte tenu de ce qui précède, la demande d’extension de l’assistance juridique aurait dû être rejetée – et non déclarée irrecevable – en tant qu’elle portait sur les heures déjà accomplies avant le dépôt de la demande et être admise pour l’activité à déployer à compter du 13 mai 2019, date du dépôt de la demande d’extension. A ce moment-là, la procédure prud’homale était terminée et les parties étaient dans l’attente d’un jugement. Une extension de deux heures d'activité d'avocat sera donc octroyée à la recourante, pour la prise de connaissance du jugement du Tribunal des prud'hommes et un entretien avec elle. Au vu de la solution adoptée, la décision querellée sera annulée et il sera statué conformément à ce qui précède. 3. Sauf exceptions non réalisées en l'espèce, il n'est pas perçu de frais judiciaires pour la procédure d'assistance juridique (art. 119 al. 6 CPC). * * * * *</w:t>
      </w:r>
    </w:p>
    <w:p>
      <w:r>
        <w:t>- 6/6 -</w:t>
      </w:r>
    </w:p>
    <w:p>
      <w:r>
        <w:t>AC/3723/2017 PAR CES MOTIFS, LE VICE-PRÉSIDENT DE LA COUR : A la forme : Déclare recevable le recours formé par A______ contre la décision rendue le 15 juillet 2019 par le Vice-président du Tribunal civil dans la cause AC/3723/2017. Au fond : Annule la décision entreprise et cela fait : Met A______ au bénéfice de l'assistance juridique pour la procédure prud'homale contre C______ SÀRL, cause C/1______/2017, avec effet au 13 mai 2019, et commet à ces fins Me B______, avocat. Limite cet octroi à 2 heures d'activités d'avocat. Déboute A______ de toutes autres conclusions. Dit qu'il n'est pas perçu de frais judiciaires pour le recours. Notifie une copie de la présente décision à A______ en l'Étude de Me B______ (art. 137 CPC). Siégeant : Monsieur Patrick CHENAUX, Vice-président;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rPr>
          <w:b/>
        </w:rPr>
        <w:t>E. 5</w:t>
      </w:r>
    </w:p>
    <w:p>
      <w:r>
        <w:t>LOJ et</w:t>
      </w:r>
    </w:p>
    <w:p>
      <w:r>
        <w:rPr>
          <w:b/>
        </w:rPr>
        <w:t>E. 10</w:t>
      </w:r>
    </w:p>
    <w:p>
      <w:r>
        <w:t>al. 1 du Règlement de la Cour de justice (RSG E 2 05.47). Le recours, écrit et motivé, est introduit auprès de l'instance de recours (art. 321 al. 1 CPC) dans un délai de dix jours (art. 321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