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DAAJ/106/2016 vom 29. Juni 2016</w:t>
      </w:r>
    </w:p>
    <w:p>
      <w:r>
        <w:t>GE Cour de justice, 2016-06-29, FR</w:t>
      </w:r>
    </w:p>
    <w:p>
      <w:r>
        <w:rPr>
          <w:b/>
        </w:rPr>
        <w:t xml:space="preserve">Quelle: </w:t>
      </w:r>
      <w:r>
        <w:t>https://mcp.opencaselaw.ch/entscheid/ge_gerichte_DAAJ_106_2016</w:t>
      </w:r>
    </w:p>
    <w:p>
      <w:r>
        <w:t>FR: GE_GERICHTE DAAJ/106/2016 du 29 juin 2016</w:t>
      </w:r>
    </w:p>
    <w:p>
      <w:r>
        <w:t>IT: GE_GERICHTE DAAJ/106/2016 del 29 giugno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L'État ne peut toutefois exiger du requérant qu'il utilise ses économies, lorsque celles-ci constituent sa "réserve de secours", laquelle s'apprécie en fonction des besoins futurs de l'indigent selon les circonstances concrètes de l'espèce, telles que son état de santé et son âge (arrêt du Tribunal fédéral 9C_701/2009 du 1er mars 2010 consid. 4.2.2).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w:t>
      </w:r>
    </w:p>
    <w:p>
      <w:r>
        <w:t>- 4/5 -</w:t>
      </w:r>
    </w:p>
    <w:p>
      <w:r>
        <w:t>AC/1924/2016 du Tribunal fédéral 4P_158/2002 du 16 août 2002 et les références citées). Cette réserve peut être aussi bien composée d'espèces, de biens mobiliers ou immobiliers que d'une assurance-vie (DAAJ/14/2013 ; DONZALLAZ, Loi sur le Tribunal fédéral : commentaire, Berne 2008, n. 1815 ad art. 64 LTF). Concernant le défendeur à une action, les chances de succès de la cause s'examinent de la même manière que pour un demandeur, à moins que la procédure ne commande de spécifiquement prendre en compte son rôle de partie (Arrêt du Tribunal fédéral 5A_590/2009 du 6 janvier 2010 consid. 3.1.3), notamment dans les causes relatives au droit de la famille (BÜHLER, Kommentar zur schweizerischen Privatrecht, Berner Kommentar, 2012, n. 233b et 241a ad art. 117 ZPO). En effet, il peut également être exigé du défendeur qu'il ne procède pas de manière inutile (cf. arrêt précité ; BÜHLER, op. cit.).</w:t>
      </w:r>
    </w:p>
    <w:p>
      <w:r>
        <w:rPr>
          <w:b/>
        </w:rPr>
        <w:t>E. 2.2</w:t>
      </w:r>
    </w:p>
    <w:p>
      <w:r>
        <w:t>En l'espèce, les revenus de la recourante, qui s'élèvent à 2'650 fr. par mois, lui permettent essentiellement de payer son loyer de 2'557 fr. (2'650 fr. – 2'557 = 93 fr.). Ils ne suffisent en revanche pas pour couvrir son entretien de base (1'200 fr. selon les normes d'insaisissabilité de l'office des poursuites), de sorte qu'elle a un manco de plus de 1'000 fr. par mois. La recourante, qui dispose d'économies d'environ 30'000 fr., a donc besoin de cet argent pour assumer son entretien. Dès lors que la recourante est âgée de 62 ans, qu'elle est bénéficiaire de l'assurance- invalidité et qu'elle a besoin de ses économies pour son entretien, sa fortune constitue une réserve de secours qui n'a pas à être mise à contribution par la recourante pour financer sa défense. Par conséquent, la décision querellée sera annulée. Étant donné que l'autorité de première instance ne s'est pas prononcée sur les chances de succès de la recourante dans la procédure d'annulation de poursuite, il convient de lui renvoyer la cause pour nouvelle décision, après examen de celles-ci.</w:t>
      </w:r>
    </w:p>
    <w:p>
      <w:r>
        <w:rPr>
          <w:b/>
        </w:rPr>
        <w:t>E. 3</w:t>
      </w:r>
    </w:p>
    <w:p>
      <w:r>
        <w:t>Sauf exceptions non réalisées en l'espèce, il n'est pas perçu de frais judiciaires pour la procédure d'assistance juridique (art. 119 al. 6 CPC). * * * * *</w:t>
      </w:r>
    </w:p>
    <w:p>
      <w:r>
        <w:t>- 5/5 -</w:t>
      </w:r>
    </w:p>
    <w:p>
      <w:r>
        <w:t>AC/1924/2016 PAR CES MOTIFS, LE VICE-PRÉSIDENT DE LA COUR : A la forme : Déclare recevable le recours formé par A______ contre la décision rendue le 29 juin 2016 par le Vice-président du Tribunal civil dans la cause AC/1924/2016. Au fond : Annule la décision entreprise. Cela fait, statuant à nouveau : Renvoie la cause à l'autorité de première instance pour nouvelle décision après examen des chances de succès de la recourante dans la procédure en annulation de poursuite C/6764/2016.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