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DAAJ/105/2022 vom 17. August 2022</w:t>
      </w:r>
    </w:p>
    <w:p>
      <w:r>
        <w:t>GE Cour de justice, 2022-08-17, FR</w:t>
      </w:r>
    </w:p>
    <w:p>
      <w:r>
        <w:rPr>
          <w:b/>
        </w:rPr>
        <w:t xml:space="preserve">Quelle: </w:t>
      </w:r>
      <w:r>
        <w:t>https://mcp.opencaselaw.ch/entscheid/ge_gerichte_DAAJ_105_2022</w:t>
      </w:r>
    </w:p>
    <w:p>
      <w:r>
        <w:t>FR: GE_GERICHTE DAAJ/105/2022 du 17 août 2022</w:t>
      </w:r>
    </w:p>
    <w:p>
      <w:r>
        <w:t>IT: GE_GERICHTE DAAJ/105/2022 del 17 agosto 2022</w:t>
      </w:r>
    </w:p>
    <w:p>
      <w:pPr>
        <w:pStyle w:val="Heading2"/>
      </w:pPr>
      <w:r>
        <w:t>Erwägungen</w:t>
      </w:r>
    </w:p>
    <w:p>
      <w:r>
        <w:rPr>
          <w:b/>
        </w:rPr>
        <w:t>E. 1.1</w:t>
      </w:r>
    </w:p>
    <w:p>
      <w:r>
        <w:t>Les décisions du vice-président du Tribunal de première instance en matière d'assistance judiciaire, rendues en procédure sommaire (art. 119 al. 3 CPC), peuvent faire l'objet d'un recours auprès du président de la Cour de justice (art. 121 CPC et 22 al. 2 LaCC), compétence déléguée à la vice-présidente soussignée (art. 29 al. 5 LOJ; arrêt du Tribunal fédéral 2D_6/2012 du 31 juillet 2012 consid. 2). Le recours, écrit et motivé, est introduit auprès de l'instance de recours (art. 321 al. 1 CPC) dans un délai de dix jours (art. 321 al. 2 CPC). Le conseil juridique dispose à titre personnel d'un droit de recours au sujet de la rémunération équitable accordée (ATF 131 V 153 consid. 1; TAPPY, Code de procédure civile commenté, 2011, n. 22 ad art. 123 CPC).</w:t>
      </w:r>
    </w:p>
    <w:p>
      <w:r>
        <w:rPr>
          <w:b/>
        </w:rPr>
        <w:t>E. 1.2</w:t>
      </w:r>
    </w:p>
    <w:p>
      <w:r>
        <w:t>En l'espèce, le recours dirigé contre la décision sur reconsidération rendue par la vice-présidente du Tribunal de première instance concernant le montant de l'indemnisation de la recourante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En procédure civile, les citations, ordonnances, décisions et actes des parties sont notifiés par envoi recommandé ou d'une autre manière contre accusé de réception (art. 138 al. 1 CPC). Le fardeau de la preuve de la notification incombe à l'autorité qui entend en tirer une conséquence juridique (ATF 129 I 8 consid. 2.2 et les arrêts cités).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p. 402; arrêt 2C_637/2007 du 4 avril 2008 consid. 2.4.1 in RDAF 2008 II p. 197).</w:t>
      </w:r>
    </w:p>
    <w:p>
      <w:r>
        <w:t>- 5/9 -</w:t>
      </w:r>
    </w:p>
    <w:p>
      <w:r>
        <w:t>AC/1478/2020</w:t>
      </w:r>
    </w:p>
    <w:p>
      <w:r>
        <w:rPr>
          <w:b/>
        </w:rPr>
        <w:t>E. 2.2</w:t>
      </w:r>
    </w:p>
    <w:p>
      <w:r>
        <w:t>Dans un premier pan de sa décision, l'autorité de première instance a retenu que la demande de reconsidération formée par la recourante était tardive. Or, la décision de taxation du 30 juin 2022 n’a pas été envoyée par courrier recommandé à la recourante, de sorte que la notification de cette décision, intervenue en violation des art. 137 et 138 CPC, est irrégulière. La recourante ayant affirmé avoir reçu la décision litigieuse le 5 juillet 2022, il y a lieu de se fier à cette indication, étant rappelé que la notification irrégulière ne peut entraîner aucun préjudice pour la recourante. Il en résulte que la demande de reconsidération adressée le 14 juillet 2022 à la Vice- présidente du Tribunal de première instance, dans le respect du délai prévu par l'art. 18 al. 2 RAJ, était bien recevable.</w:t>
      </w:r>
    </w:p>
    <w:p>
      <w:r>
        <w:rPr>
          <w:b/>
        </w:rPr>
        <w:t>E. 3</w:t>
      </w:r>
    </w:p>
    <w:p>
      <w:r>
        <w:t>S'attaquant au raisonnement subsidiaire retenu par l'autorité de première instance, la recourante conteste la manière dont sa rémunération a été fixée, tout en relevant que ce n'est qu'au stade de la décision sur reconsidération qu'elle a pu comprendre que les heures qu'elle soutenait avoir consacrées à la défense des intérêts de son client avaient été réduites.</w:t>
      </w:r>
    </w:p>
    <w:p>
      <w:r>
        <w:rPr>
          <w:b/>
        </w:rPr>
        <w:t>E. 3.1</w:t>
      </w:r>
    </w:p>
    <w:p>
      <w:r>
        <w:t>3.1.1. Aux termes de l'art. 16 RAJ, l'indemnité due à l'avocat et au défenseur d'office en matière pénale est calculée selon le tarif horaire suivant, débours de l'étude inclus: 65 fr. pour un avocat stagiaire, 125 fr. pour un collaborateur et 200 fr. pour un chef d'étude, la TVA étant versée en sus (al. 1); seules les heures nécessaires sont retenues. Elles sont appréciées en fonction notamment de la nature, de l'importance, et des difficultés de la cause, de la valeur litigieuse, de la qualité du travail fourni et du résultat obtenu (al. 2). L'autorité compétente dispose d'un large pouvoir d'appréciation dans l'application des normes cantonales relatives à l'indemnisation de l'avocat d'office (arrêts du Tribunal fédéral 5D_118/2021 du 15 octobre 2021 consid. 5.1.4; 5A_82/2018 du 15 juin 2018 consid. 6.2.1; 1P.713/2005 du 14 février 2006 consid. 2.1). L'activité du défenseur d'office ne doit être prise en considération que dans la mesure où elle s'inscrit raisonnablement dans le cadre de l'accomplissement de sa tâche, à l'exclusion des démarches inutiles ou superflues (ATF 109 Ia 107 consid. 3a). Le juge peut revoir le temps de travail allégué par l'avocat, s'il l'estime exagéré en tenant compte des caractéristiques concrètes de l'affaire, et ne pas rétribuer ce qui ne s'inscrit pas raisonnablement dans le cadre de l'accomplissement de sa tâche. Il peut également refuser d'indemniser le conseil pour des opérations qu'il estime inutiles ou superflues (arrêt précité 5A_82/2018 consid. 6.2.2). Il se peut que l'autorité chargée de fixer l'indemnité apprécie de façon erronée un poste de l'état de frais ou se fonde sur un argument déraisonnable. Cela ne suffit toutefois pas pour conclure à une violation de l'art. 4 aCst. (art. 29 al. 3 Cst.). Ce n'est en effet que si le montant global alloué au défenseur d'office à titre d'indemnisation apparaît comme</w:t>
      </w:r>
    </w:p>
    <w:p>
      <w:r>
        <w:t>- 6/9 -</w:t>
      </w:r>
    </w:p>
    <w:p>
      <w:r>
        <w:t>AC/1478/2020 ayant été fixé de façon arbitraire qu'il faut annuler la décision attaquée (ATF 109 Ia 107 consid. 3d). D'après les directives du greffe de l'Assistance juridique du 17 décembre 2014 relatives à l'établissement de l'état de frais des avocats (disponibles sur le site Internet http://ge.ch/justice/greffe-de-lassistance-juridique), il a notamment été décidé d'introduire, en ce qui concerne les courriers et téléphones en matière civile, un forfait global correspondant à 50% de l'activité déployée pour les autres postes (conférences, procédure et audiences). Cela étant, il est précisé que "l’application systématique de ce nouveau forfait pourrait dans certains cas aboutir à un résultat inéquitable, voire choquant, parfois vers le bas mais plus souvent vers le haut s'agissant des états de frais indiquant un nombre d'heures particulièrement important pour des procédures de longue durée. Nous nous réservons donc le droit de procéder à une application nuancée de ladite règle lorsqu'il s'avérera nécessaire d'en corriger les effets pervers conformément aux principes découlant de l'art 19 al. 3 [a]RAJ". La Cour de céans a confirmé la pratique constante du greffe de l'Assistance juridique en matière civile, laquelle consiste à considérer qu'un forfait courriers et téléphones de 50% apparaît équilibré tant que l'activité peut être qualifiée de moyenne, en d'autres termes ne dépasse pas un certain nombre d'heures, arrêté à 23 heures en général. Au- delà de 23 heures d'activité, l'application d'un forfait de 50% a pour conséquence de gonfler artificiellement et démesurément le poste consacré à cet aspect des services du conseil juridique, raison pour laquelle il est réduit à 40%, puis à 30% au-delà de 30 heures (cf. arrêts DAAJ/73/2020 du 3 août 2020, DAAJ/117/2017 du 22 novembre 2017 et DAAJ/50/2014 du 17 juin 2014).</w:t>
      </w:r>
    </w:p>
    <w:p>
      <w:r>
        <w:rPr>
          <w:b/>
        </w:rPr>
        <w:t>E. 3.1.2</w:t>
      </w:r>
    </w:p>
    <w:p>
      <w:r>
        <w:t>Lorsque l'autorité statue sur l'indemnité due au défenseur d'office sur la base d'une liste de frais, elle doit, si elle entend s'en écarter, exposer brièvement les motifs pour lesquels elle tient certaines prétentions pour injustifiées, afin que son destinataire puisse attaquer la décision à bon escient (arrêt du Tribunal fédéral 5D_118/2021 du 15 octobre 2021 consid. 4.1).</w:t>
      </w:r>
    </w:p>
    <w:p>
      <w:r>
        <w:rPr>
          <w:b/>
        </w:rPr>
        <w:t>E. 3.2</w:t>
      </w:r>
    </w:p>
    <w:p>
      <w:r>
        <w:t>3.2.1. En l'espèce, la décision de taxation du 30 juin 2022 relative à la procédure de seconde instance ne comporte aucune motivation permettant de comprendre la manière dont l'indemnité arrêtée au montant global de 5'600 fr., forfait courriers/téléphone inclus, a été calculée, ce qui n'est pas admissible au regard des principes rappelés ci- dessus, puisque la recourante avait produit un état de frais détaillé. Cela étant, l'autorité de première instance a remédié à ce défaut de motivation dans la décision rendue sur reconsidération, de sorte que la recourante a été en mesure de comprendre le calcul auquel a procédé l'autorité de première instance et d'attaquer utilement la décision litigieuse devant l'autorité de céans. Il n'y a dès lors pas lieu d'annuler la décision querellée pour violation du droit d'être entendu de la recourante.</w:t>
      </w:r>
    </w:p>
    <w:p>
      <w:r>
        <w:t>- 7/9 -</w:t>
      </w:r>
    </w:p>
    <w:p>
      <w:r>
        <w:t>AC/1478/2020</w:t>
      </w:r>
    </w:p>
    <w:p>
      <w:r>
        <w:rPr>
          <w:b/>
        </w:rPr>
        <w:t>E. 3.2.2</w:t>
      </w:r>
    </w:p>
    <w:p>
      <w:r>
        <w:t>En ce qui concerne la quotité de l'indemnité, la recourante ne conteste pas la décision de l'autorité de première instance en tant qu'elle a réduit de 50 à 30% le forfait relatif à la majoration des honoraires de la recourante pour le temps consacré aux téléphones et aux courriers, conformément à la pratique mentionnée ci-dessus. Comme cela résulte de la décision rendue sur reconsidération, le forfait ainsi calculé a bien été ajouté au montant arrêté sur la base du nombre d'heures d'activité d'avocate retenu (21 heures et 30 minutes), multiplié par le tarif horaire applicable à un chef d'étude (200 fr.), ce qui revient à 5'590 fr. (21.5 x 200 + 4'300 x 30%), montant qui a été arrondi à 5'600 fr. Par ailleurs, contrairement à ce que soutient la recourante, la circonstance que la seconde décision d'octroi de l'assistance juridique (au contraire de la première qui a été rendue par l'autorité de première instance) ne prévoyait aucune limitation du nombre d'heures d'activité d'avocate est dénué de pertinence, seul le nombre d'heures nécessaires pour assurer le mandat d'office – question pouvant être examinée a posteriori – étant décisif pour fixer la rémunération due à l'issue de la procédure pour laquelle l'aide étatique a été accordée. A la lecture du relevé d'activités fournie par la recourante concernant la procédure d'appel, il apparaît qu'un certain nombre d'heures d'activité facturées sont superflues, comme il sera exposé ci-après. La recourante a fait valoir que plusieurs conférences avec son client, espacées dans le temps, avaient été nécessaires au cours de la procédure de seconde instance pour mettre à jour sa situation, qui s'était modifiée à plusieurs reprises. Ces explications ne suffisent toutefois à justifier ni la nécessité de tenir cinq conférences avec le client (soit deux de plus qu'en première instance), ni leur durée, qui paraît excessive. Par ailleurs, en dehors du nombre d'heures relativement élevé consacré à la prise de connaissance de divers actes de la procédure, le temps de rédaction des écritures paraît également particulièrement disproportionné, la cause ne présentant pas de difficultés particulières, que ce soit sur le plan des faits ou des questions juridiques soulevées, le litige au fond, au stade de l'appel, étant circonscrit à l'établissement de la situation économique des parents en vue de statuer sur la contribution d'entretien due par le père en faveur de ses enfants. Dans l'ensemble, il apparaît – comme l'autorité de première instance l'a retenu avec raison –, que les opérations effectuées par la recourante (du moins la durée qu'elle y a consacrée) n'étaient pas toutes nécessaires à l'exécution de son mandat d'office. Le nombre d'heures à rétribuer, arrêté à 21h30, est d'autant plus raisonnable qu'il représente plus du double des heures accomplies pour la procédure de première instance (hors audiences). Compte tenu de ce qui précède, de la complexité et de l'issue de la procédure, le montant arrêté par le premier juge est équitable.</w:t>
      </w:r>
    </w:p>
    <w:p>
      <w:r>
        <w:t>- 8/9 -</w:t>
      </w:r>
    </w:p>
    <w:p>
      <w:r>
        <w:t>AC/1478/2020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- 9/9 -</w:t>
      </w:r>
    </w:p>
    <w:p>
      <w:r>
        <w:t>AC/1478/2020 PAR CES MOTIFS, LA VICE-PRÉSIDENTE DE LA COUR : A la forme : Déclare recevable le recours formé par A______ contre la décision rendue le 17 août 2022 par la vice-présidente du Tribunal de première instance dans la cause AC/1478/2020.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