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DAAJ/105/2016 vom 20. Juli 2016</w:t>
      </w:r>
    </w:p>
    <w:p>
      <w:r>
        <w:t>GE Cour de justice, 2016-07-20, FR</w:t>
      </w:r>
    </w:p>
    <w:p>
      <w:r>
        <w:rPr>
          <w:b/>
        </w:rPr>
        <w:t xml:space="preserve">Quelle: </w:t>
      </w:r>
      <w:r>
        <w:t>https://mcp.opencaselaw.ch/entscheid/ge_gerichte_DAAJ_105_2016</w:t>
      </w:r>
    </w:p>
    <w:p>
      <w:r>
        <w:t>FR: GE_GERICHTE DAAJ/105/2016 du 20 juillet 2016</w:t>
      </w:r>
    </w:p>
    <w:p>
      <w:r>
        <w:t>IT: GE_GERICHTE DAAJ/105/2016 del 20 luglio 2016</w:t>
      </w:r>
    </w:p>
    <w:p>
      <w:pPr>
        <w:pStyle w:val="Heading2"/>
      </w:pPr>
      <w:r>
        <w:t>Erwägungen</w:t>
      </w:r>
    </w:p>
    <w:p>
      <w:r>
        <w:rPr>
          <w:b/>
        </w:rPr>
        <w:t>E. 1.1</w:t>
      </w:r>
    </w:p>
    <w:p>
      <w:r>
        <w:t>La décision entreprise est sujette à recours auprès du président de la Cour de justice en tant qu'elle refuse l'extension de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2.1.1. Reprenant l'art. 29 al. 3 Cst., l'art. 117 CPC prévoit que toute personne qui ne dispose pas de ressources suffisantes a droit à l'assistance judiciaire à moins que sa cause paraisse dépourvue de toute chance de succès. A teneur de l'art. 118 al. 2 CPC, l'assistance judiciaire peut être accordée totalement ou partiellement. En application du principe de proportionnalité, l'art. 3 al. 1 première phrase RAJ, prévoit que l'assistance juridique peut être limitée à certains actes de procédure ou démarches déterminées, ainsi que dans la quotité des heures nécessaires à</w:t>
      </w:r>
    </w:p>
    <w:p>
      <w:r>
        <w:t>- 4/7 -</w:t>
      </w:r>
    </w:p>
    <w:p>
      <w:r>
        <w:t>AC/3328/2014 l'activité couverte. La limitation de l'activité de l'avocat désigné à un certain nombre d'heures d'activité est ainsi conforme tant à l'art. 3 al. 1 RAJ précité qu'au principe de proportionnalité consacré à l'art. 118 al. 2 CPC. 2.1.2.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arrêt du Tribunal fédéral 5A_159/2016 du 9 mai 2016 consid. 2.1). La situation doit être appréciée à la date du dépôt de la requête et sur la base d'un examen sommaire (ATF 138 III 217 consid. 2.2.4 ; 133 III 614 consid. 5). L'absence de chances de succès peut résulter des faits ou du droit. L'autorité chargée de statuer sur l'assistance judiciaire ne doit évidemment pas se substituer au juge du fond ; elle doit seulement examiner s'il lui apparaît qu'il y a des chances que le juge adopte la position soutenue par le demandeur, chances qui doivent être plus ou moins équivalentes aux risques qu'il parvienne à la conclusion contraire (arrêts du Tribunal fédéral 4A_614/2015 du 25 avril 2016 consid. 3.2 ; 4A_454/2008 du 1er décembre 2008 consid. 4.2). 2.1.3. A teneur de l'art. 313 al. 1 CPC, la partie adverse peut former un appel joint dans la réponse à l'appel. 2.1.4. A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critères exercent une influence réciproque les uns sur les autres (ATF 134 III 337 consid. 2.2.2 ; arrêt du Tribunal fédéral 5A_874/2015 du 2 mars 2016 consid. 4.1). Le juge peut ordonner que la contribution d'entretien soit augmentée ou réduite dès que des changements déterminés interviennent dans les besoins de l'enfant, les ressources des père et mère ou le coût de la vie (art. 286 al. 1 CC). Pour fixer les contributions d'entretien, le juge doit en principe tenir compte du revenu effectif du débirentier. Il peut toutefois lui imputer un revenu hypothétique supérieur (ATF 137 III 118 consid. 3.1). Lorsque le juge entend tenir compte d'un revenu</w:t>
      </w:r>
    </w:p>
    <w:p>
      <w:r>
        <w:t>- 5/7 -</w:t>
      </w:r>
    </w:p>
    <w:p>
      <w:r>
        <w:t>AC/3328/2014 hypothétique, il doit examiner successivement deux conditions. Tout d'abord, il doit juger si l'on peut raisonnablement exiger de cette personne qu'elle exerce une activité lucrative, eu égard, notamment, à sa formation, à son âge et à son état de santé (arrêt du Tribunal fédéral 5A_453/2015 du 4 novembre 2015 consid. 2.1). Le juge doit en outre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 128 III 4 consid. 4c/bb). Le juge peut ordonner que la contribution d'entretien soit augmentée ou réduite dès que des changements déterminés interviennent dans les besoins de l'enfant, les ressources des père et mère ou le coût de la vie (art. 286 al. 1 CC). Le minimum vital du débirentier doit être préservé (ATF 135 III 66 consid. 2 ss, in JdT 2010 I p. 167). 2.2.1. En l'espèce, on ne saurait suivre la recourante lorsqu'elle prétend que l'assistance juridique qui lui a été octroyée pour répondre à l'appel comprenait l'appel joint dès lors que ce dernier fait partie intégrante de sa réponse. En effet, si l'appel joint doit figurer dans le mémoire de réponse – de sorte qu'il n'existe qu'une seule écriture –, les conséquences financières d'une réponse et d'un appel joint sont bien différentes. Un mémoire de réponse n'implique qu'une écriture alors que l'appel joint engendre des frais judiciaires supplémentaires – taxés au même titre qu'un appel principal – et, très souvent, un second échange d'écriture. Un appel joint est donc assimilable à un appel s'agissant des conditions d'octroi de l'assistance juridique, ce qui implique un examen des chances de succès de celui-ci. La recourante ne s'y est d'ailleurs pas trompée puisqu'elle a spontanément sollicité du premier juge, après avoir requis l'assistance juridique pour réponde à l'appel, une extension de la prise en charge des frais résultant de l'appel joint. Au vu de ce qui précède, c'est à juste titre que le premier juge a traité la demande d'assistance juridique de la recourante pour former appel joint de manière séparée à sa demande pour répondre à l'appel. 2.2.2. Dans son appel joint la recourante ne conteste ni le montant du revenu hypothétique ni les charges retenues par le Tribunal à l'égard de son ex-époux et elle admet expressément qu'il dispose d'un solde disponible de 3'080 fr. Elle admet qu'en l'état, l'intégralité du solde disponible du père est affectée à l'entretien des enfants et qu'il ne peut pas être porté atteinte à son minimum vital. Dès lors, à priori, il ne pourra pas être demandé au père de prendre en charge la moitié des frais extraordinaires des enfants en sus des contributions par le Tribunal à leur entretien pour le présent.</w:t>
      </w:r>
    </w:p>
    <w:p>
      <w:r>
        <w:t>- 6/7 -</w:t>
      </w:r>
    </w:p>
    <w:p>
      <w:r>
        <w:t>AC/3328/2014 En outre, eu égard à la absence d'inflation durant la dernière décennie, il est peu probable que le juge estime pertinent d'indexer les contributions d'entretien à la consommation. S'agissant du futur, la recourante fait valoir d'une manière toute générale que son ex- époux pourra obtenir des augmentations substantielles de son revenu. Cet allégué ne pourra, à première vue, pas être rendu vraisemblable par la recourante, celle-ci ne pouvant établir la certitude d'une augmentation de salaire de son ex-époux ni son ampleur. Or, pour qu'un revenu hypothétique puisse être retenu celui-ci doit être réalisable. Par conséquent, les chances pour la recourante de rendre hautement vraisemblable que le père des enfants sera en mesure d'augmenter ses revenus à l'avenir sont, a priori, dénuées de succès. Par conséquent, le recours sera rejeté sur ce point. On relèvera toutefois que même si la recourante ne devait pas être en mesure de s'acquitter de l'avance de frais sur appel joint, la Cour statuant d'office s'agissant des contributions d'entretien due à des enfants mineurs, point dont le père a appelé, pourra quand même tenir compte des allégués de la recourante sur ce point. 2.2.3. Par ailleurs, c'est à juste titre que le premier juge a relevé que les heures supplémentaires d'activité d'avocat étaient directement en lien avec le dépôt de l'appel joint et que les 8 heures d'activité octroyées initialement étaient suffisantes pour rédiger un simple mémoire de réponse, ce que la recourante ne conteste pas de manière motivée.</w:t>
      </w:r>
    </w:p>
    <w:p>
      <w:r>
        <w:rPr>
          <w:b/>
        </w:rPr>
        <w:t>E. 3</w:t>
      </w:r>
    </w:p>
    <w:p>
      <w:r>
        <w:t>Sauf exceptions non réalisées en l'espèce, il n'est pas perçu de frais judiciaires pour la procédure d'assistance juridique (art. 119 al. 6 CPC). * * * * *</w:t>
      </w:r>
    </w:p>
    <w:p>
      <w:r>
        <w:t>- 7/7 -</w:t>
      </w:r>
    </w:p>
    <w:p>
      <w:r>
        <w:t>AC/3328/2014 PAR CES MOTIFS, LE VICE-PRÉSIDENT DE LA COUR : A la forme : Déclare recevable le recours formé le 3 août 2016 par A______ contre la décision rendue le 20 juillet 2016 par le Vice-président du Tribunal civil dans la cause AC/3328/2014. Au fond : Le rejette. Déboute A______ de toutes autres conclusions. Dit qu'il n'est pas perçu de frais judiciaires pour le recours. Notifie une copie de la présente décision à A______ en l'Étude de Me Anik PIZZI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