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DAAJ/103/2015 vom 8. September 2015</w:t>
      </w:r>
    </w:p>
    <w:p>
      <w:r>
        <w:t>GE Cour de justice, 2015-09-08, FR</w:t>
      </w:r>
    </w:p>
    <w:p>
      <w:r>
        <w:rPr>
          <w:b/>
        </w:rPr>
        <w:t xml:space="preserve">Quelle: </w:t>
      </w:r>
      <w:r>
        <w:t>https://mcp.opencaselaw.ch/entscheid/ge_gerichte_DAAJ_103_2015</w:t>
      </w:r>
    </w:p>
    <w:p>
      <w:r>
        <w:t>FR: GE_GERICHTE DAAJ/103/2015 du 8 septembre 2015</w:t>
      </w:r>
    </w:p>
    <w:p>
      <w:r>
        <w:t>IT: GE_GERICHTE DAAJ/103/2015 del 8 settembre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1.3</w:t>
      </w:r>
    </w:p>
    <w:p>
      <w:r>
        <w:t>En l'espèce, le recours a été interjeté dans le délai utile et a été transmis par le greffe de l'assistance juridique à l'autorité compétente. Bien que le recourant n'ait pas pris de conclusions formelles, alors qu'il est assisté d'un avocat, l'on comprend qu'il sollicite l'annulation de la décision entreprise.</w:t>
      </w:r>
    </w:p>
    <w:p>
      <w:r>
        <w:t>- 4/7 -</w:t>
      </w:r>
    </w:p>
    <w:p>
      <w:r>
        <w:t>AC/1303/2015 Par conséquent, le recours est recevable.</w:t>
      </w:r>
    </w:p>
    <w:p>
      <w:r>
        <w:rPr>
          <w:b/>
        </w:rPr>
        <w:t>E. 2</w:t>
      </w:r>
    </w:p>
    <w:p>
      <w:r>
        <w:t>Le recourant reproche au premier juge d'avoir considéré que la demande qu'il envisage soit dépourvue de chances de succès. 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2.1.2 La responsabilité délictuelle instituée par l'art. 41 CO suppose que soient réalisées cumulativement les quatre conditions suivantes: un acte illicite, une faute de l'auteur, un dommage et un rapport de causalité (naturelle et adéquate) entre l'acte fautif et le dommage (ATF 137 III 539 consid. 5.2 ; ATF 133 III 323 consid. 5.1 ; ATF 132 III 122 consid. 4.1). Un acte est illicite s'il porte atteinte à un droit absolu du lésé, par exemple à son droit à la vie et à l'intégrité corporelle, à l'honneur, à ses droits réels et à ses droits de la propriété intellectuelle. S'il n'y a qu'un préjudice purement économique on n'admettra l'existence d'un acte illicite que si l'auteur a violé une norme de comportement qui a pour finalité de protéger le lésé dans les droits qui ont été atteints. Dans le premier cas (atteinte à un droit absolu), on parle d'une illicéité de résultat ; tandis que dans le second cas (violation d'une règle protectrice), on parle d'une illicéité de comportement (ATF 133 III 323 consid. 5.1 ; arrêt du Tribunal fédéral 4A_594/2009 du 27 juillet 2010 consid. 3.3).</w:t>
      </w:r>
    </w:p>
    <w:p>
      <w:r>
        <w:t>- 5/7 -</w:t>
      </w:r>
    </w:p>
    <w:p>
      <w:r>
        <w:t>AC/1303/2015 L'illicéité de résultat, par nature, est justifiée par le fait que la lésion des droits subjectifs absolus est toujours illicite, peu importe la manière dont cette lésion a été causée. Une responsabilité fondée sur l'art. 41 CO suppose cependant que la lésion qui s'est produite puisse être attribuée au comportement illicite l'auteur. Alors que les actions provoquant la lésion d'un bien juridiquement protégé sont sans autre illicites - pour autant qu'il n'existe aucun fait justificatif - l'illicéité d'une abstention suppose que soit violé un devoir juridique spécifique tendant à prévenir la menace d'une lésion. Par conséquent, nonobstant la lésion d'un bien juridique absolument protégé, une omission n'est illicite que si un devoir d'agir est violé ; ce devoir est, au sens de l'illicéité de comportement, à l'origine de la position de garant assumée par l'auteur à l'égard du lésé (ATF du 28 janvier 2000 consid. 1a, in SJ 2000 I p. 549). Selon l'art. 82 al. 1 LAA, l'employeur est tenu de prendre, pour prévenir les accidents et maladies professionnels, toutes les mesures dont l'expérience a démontré la nécessité, que l'état de la technique permet d'appliquer et qui sont adaptées aux conditions données. L'art. 6 al. 1 LTr institue la même obligation à charge de l'employeur. Enfin, à teneur de l'art. 328 al. 2 CO, l'employeur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Il résulte des dispositions qui précèdent que l'ordre juridique impose à l'employeur le devoir de prendre des mesures en vue de protéger la vie et la santé de ses employés. Il s'ensuit que l'employeur a la position de garant envers le travailleur pour sa sécurité sur les lieux de travail. Ainsi, il a été jugé que l'employeur avait la position de garant pour la sécurité de ses employés sur un chantier (ATF 109 IV 17 consid. 2a).</w:t>
      </w:r>
    </w:p>
    <w:p>
      <w:r>
        <w:rPr>
          <w:b/>
        </w:rPr>
        <w:t>E. 2.2</w:t>
      </w:r>
    </w:p>
    <w:p>
      <w:r>
        <w:t>En l'espèce, compte tenu de sa qualité d'employeur, l'ancien employeur du recourant avait la position de garant envers ce dernier pour la sauvegarde de sa vie et de sa santé dans le cadre de l'exécution du travail. Si le recourant n'a clairement formulé d'offre de preuve quant à l'absence d'instructions spécifiques et mise en garde de son ancien employeur, il résulte toutefois des faits allégué par celui-ci qu'il travaillait avec un collègue les jours précédents l'accident et que ce dernier a assisté à l'accident. Dès lors, il est vraisemblable que l'audition de ce collègue permettra d'établir si les faits allégués par le recourant sont avérés, notamment au sujet de l'absence d'instruction de la part de l'employeur. Le Tribunal chargé de trancher la responsabilité de l'ancien employeur du recourant devra ainsi mettre en balance le témoignage du collègue du recourant avec celui du responsable du chantier. Au vu de ce qui précède, c'est à tort que le Vice-président du Tribunal civil a considéré que la procédure tendant à faire constater que l'ancien employeur du recourant a commis</w:t>
      </w:r>
    </w:p>
    <w:p>
      <w:r>
        <w:t>- 6/7 -</w:t>
      </w:r>
    </w:p>
    <w:p>
      <w:r>
        <w:t>AC/1303/2015 un acte illicite consistant à ne pas avoir protégé la personnalité de l'employé est a priori dépourvue de chances de succès. En effet, il n'apparait pas d'emblée que les faits allégués ne pourront pas être prouvés. Par conséquent, la décision entreprise sera annulée et la cause renvoyée au premier juge pour nouvelle décision après examen de la condition d'indigence.</w:t>
      </w:r>
    </w:p>
    <w:p>
      <w:r>
        <w:rPr>
          <w:b/>
        </w:rPr>
        <w:t>E. 3</w:t>
      </w:r>
    </w:p>
    <w:p>
      <w:r>
        <w:t>Sauf exceptions non réalisées en l'espèce, il n'est pas perçu de frais judiciaires pour la procédure d'assistance juridique (art. 119 al. 6 CPC). * * * * *</w:t>
      </w:r>
    </w:p>
    <w:p>
      <w:r>
        <w:t>- 7/7 -</w:t>
      </w:r>
    </w:p>
    <w:p>
      <w:r>
        <w:t>AC/1303/2015 PAR CES MOTIFS, LE VICE-PRÉSIDENT DE LA COUR : A la forme : Déclare recevable le recours formé le 24 septembre 2015 par A______ contre la décision rendue le 8 septembre 2015 par le Vice-président du Tribunal civil dans la cause AC/1303/2015.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Me Michael ANDERS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