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DAAJ/102/2018 vom 28. August 2018</w:t>
      </w:r>
    </w:p>
    <w:p>
      <w:r>
        <w:t>GE Cour de justice, 2018-08-28, FR</w:t>
      </w:r>
    </w:p>
    <w:p>
      <w:r>
        <w:rPr>
          <w:b/>
        </w:rPr>
        <w:t xml:space="preserve">Quelle: </w:t>
      </w:r>
      <w:r>
        <w:t>https://mcp.opencaselaw.ch/entscheid/ge_gerichte_DAAJ_102_2018</w:t>
      </w:r>
    </w:p>
    <w:p>
      <w:r>
        <w:t>FR: GE_GERICHTE DAAJ/102/2018 du 28 août 2018</w:t>
      </w:r>
    </w:p>
    <w:p>
      <w:r>
        <w:t>IT: GE_GERICHTE DAAJ/102/2018 del 28 agosto 2018</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conclusions, les allégations de faits et les preuves nouvelles sont irrecevables dans le cadre d'un recours. Par conséquent, les allégués de faits dont le recourant n'a pas fait état en première instance et les pièces nouvelles ne seront pas pris en considération. Par ailleurs, les conclusions nouvelles du recourant sont irrecevables.</w:t>
      </w:r>
    </w:p>
    <w:p>
      <w:r>
        <w:t>- 4/6 -</w:t>
      </w:r>
    </w:p>
    <w:p>
      <w:r>
        <w:t>AC/2393/2018</w:t>
      </w:r>
    </w:p>
    <w:p>
      <w:r>
        <w:rPr>
          <w:b/>
        </w:rPr>
        <w:t>E. 3</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Aux termes de l'art. 63 al. 1 CPC,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La question de savoir si l'art. 63 CPC s'applique par analogie lorsqu’une requête de restitution de délai a été déposée devant une autorité incompétente ratione materiae n'a pas été résolue par le Tribunal fédéral (cf. arrêt du Tribunal fédéral 4A_65/2015 du 28 septembre 2015 consid. 1.4 non publié in ATF 141 III 444).</w:t>
      </w:r>
    </w:p>
    <w:p>
      <w:r>
        <w:rPr>
          <w:b/>
        </w:rPr>
        <w:t>E. 3.2</w:t>
      </w:r>
    </w:p>
    <w:p>
      <w:r>
        <w:t>En l'espèce, le Vice-président du Tribunal civil a considéré que le recourant n'avait pas rendu vraisemblable que l'office postal avait été dans l'impossibilité de lui remettre le pli contenant le jugement de mainlevée et que la nouvelle demande de restitution de délai avait été déposée plus d'un mois après la réception du jugement du 5 juin 2018 et ne respectait pas le délai de 10 jours de l'art. 148 al. 2 CPC, de sorte que les chances de succès des démarches du recourant paraissaient faibles. Invoquant une violation de l'art. 63 CPC, le recourant fait valoir que sa nouvelle demande de restitution du délai de recours déposée le 16 juillet 2018 devant la Cour serait recevable. En effet, il avait déposé la première demande de restitution de délai devant le TPI le 26 mars 2018, soit dans le délai de 10 jours (art. 148 CPC) après</w:t>
      </w:r>
    </w:p>
    <w:p>
      <w:r>
        <w:t>- 5/6 -</w:t>
      </w:r>
    </w:p>
    <w:p>
      <w:r>
        <w:t>AC/2393/2018 réception du jugement de mainlevée qui lui a été expédié par pli simple du 13 mars. Le jugement du 5 juin 2018 par lequel le TPI s'est déclaré incompétent pour statuer sur la demande de restitution de délai a été notifié au recourant le 15 juin 2018. Ce dernier a ensuite déposé une nouvelle demande de restitution de délai devant la Cour le 16 juillet 2018, soit dans le respect du délai de 30 jours prévu par l'art. 63 CPC. Les questions de savoir si l'art. 63 CPC peut effectivement être appliqué par analogie à la situation invoquée par le recourant et si les motifs invoqués à l'appui de sa demande de restitution sont valables peuvent demeurer indécises. En effet, l'acte déposé le 16 juillet 2018 devant la Cour ne contient aucune motivation sur le fond du litige. Le recourant ne formule aucun grief à l'encontre du jugement de mainlevée du 9 février 2018, se contentant de renvoyer à ses écritures du 26 mars 2018 produites en annexe. Or, les motifs du recours doivent figurer dans le mémoire de recours. Les renvois à d'autres écritures ou à des pièces du dossier ne sont pas admis (cf. ATF 140 III 115 consid. 2). Il semble donc peu probable que le recours interjeté le 16 juillet 2018 soit déclaré recevable, et ce quel que soit le sort réservé à la requête de restitution du délai pour recourir. Il s'ensuit que la décision du Vice-président du Tribunal civil sera confirmée, par substitution de motifs.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- 6/6 -</w:t>
      </w:r>
    </w:p>
    <w:p>
      <w:r>
        <w:t>AC/2393/2018 PAR CES MOTIFS, LE VICE-PRÉSIDENT DE LA COUR : A la forme : Déclare recevable le recours formé par A______ contre la décision rendue le 28 août 2018 par le Vice-président du Tribunal civil dans la cause AC/2393/2018. Au fond : Le rejette. Déboute A______ de toutes autres conclusions. Dit qu'il n'est pas perçu de frais judiciaires pour le recours, ni alloué de dépens. Notifie une copie de la présente décision à A______ (art. 327 al. 5 CPC et 8 al. 3 RAJ). Siégeant : Monsieur Patrick CHENAUX, Vice-président; Madame Maïté VALENTE, greffière.</w:t>
      </w:r>
    </w:p>
    <w:p>
      <w:r>
        <w:t>Le Vice-président : Patrick CHENAUX</w:t>
      </w:r>
    </w:p>
    <w:p>
      <w:r>
        <w:t>La greffière: Maïté VALENTE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