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DAAJ/101/2016 vom 12. Juli 2016</w:t>
      </w:r>
    </w:p>
    <w:p>
      <w:r>
        <w:t>GE Cour de justice, 2016-07-12, FR</w:t>
      </w:r>
    </w:p>
    <w:p>
      <w:r>
        <w:rPr>
          <w:b/>
        </w:rPr>
        <w:t xml:space="preserve">Quelle: </w:t>
      </w:r>
      <w:r>
        <w:t>https://mcp.opencaselaw.ch/entscheid/ge_gerichte_DAAJ_101_2016</w:t>
      </w:r>
    </w:p>
    <w:p>
      <w:r>
        <w:t>FR: GE_GERICHTE DAAJ/101/2016 du 12 juillet 2016</w:t>
      </w:r>
    </w:p>
    <w:p>
      <w:r>
        <w:t>IT: GE_GERICHTE DAAJ/101/2016 del 12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 sous réserve des documents faisant partie de la procédure de divorce C/3802/2016, dont l'apport sera ordonné à titre préalable (art. 8 al. 2 RAJ).</w:t>
      </w:r>
    </w:p>
    <w:p>
      <w:r>
        <w:rPr>
          <w:b/>
        </w:rPr>
        <w:t>E. 3</w:t>
      </w:r>
    </w:p>
    <w:p>
      <w:r>
        <w:t>3.1.1. Reprenant l'art. 29 al. 3 Cst., l'art. 117 CPC prévoit que toute personne qui ne dispose pas de ressources suffisantes a droit à l'assistance judiciaire à moins que sa cause paraisse dépourvue de toute chance de succès.</w:t>
      </w:r>
    </w:p>
    <w:p>
      <w:r>
        <w:t>- 4/6 -</w:t>
      </w:r>
    </w:p>
    <w:p>
      <w:r>
        <w:t>AC/1715/2016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Le mari qui entend contester sa paternité doit ouvrir action au plus tard un an après qu'il a connu la naissance et le fait qu'il n'est pas le père ou qu'un tiers a cohabité avec la mère à l'époque de la conception, mais en tout cas dans les cinq ans depuis la naissance (art. 256c al. 1 CC). S'il appartient au demandeur de prouver quand et comment il a appris la naissance de l'enfant et le fait qu'il n'est pas le père ou qu'un tiers a cohabité avec la mère, il incombe en revanche à la partie défenderesse d'apporter la preuve que le délai pour agir n'est pas respecté (ATF 119 II 110 consid. 3).</w:t>
      </w:r>
    </w:p>
    <w:p>
      <w:r>
        <w:rPr>
          <w:b/>
        </w:rPr>
        <w:t>E. 3.2</w:t>
      </w:r>
    </w:p>
    <w:p>
      <w:r>
        <w:t>En l'espèce, même si le recourant et son épouse ont entretenu des rapports intimes pendant le mariage, ceux-ci ont été suffisamment peu nombreux et la période de conception de l'enfant est postérieure à la requête de mesures protectrices de l'union conjugale formée par l'épouse du recourant, ce qui laisse supposer qu'ils n'entretenaient alors plus de relations. Ces éléments sont suffisants pour que l'on s'interroge sur la paternité du recourant, qui est douteuse. L'action en désaveu introduite par le recourant ne semble ainsi pas dénuée de chances de succès. Si un plaideur aisé peut procéder à une expertise ADN avant d'introduire une action en désaveu, le recourant et son épouse n'ont pas réussi à réunir la somme nécessaire pour couvrir les frais d'une telle expertise. Il ne peut donc pas être reproché au recourant d'avoir choisi d'introduire une procédure en désaveu, ce d'autant plus que le délai de péremption arrivait à échéance avant de procéder à l'expertise.</w:t>
      </w:r>
    </w:p>
    <w:p>
      <w:r>
        <w:t>- 5/6 -</w:t>
      </w:r>
    </w:p>
    <w:p>
      <w:r>
        <w:t>AC/1715/2016 Le recourant n'agit pas non plus dans un but dilatoire afin de retarder injustement la décision du jugement de divorce. Il désire faire établir sa paternité afin de ne pas devoir s'acquitter d'une contribution d'entretien en faveur d'un enfant qui ne serait pas le sien. Le recours sera par conséquent admis, la décision litigieuse annulée et la cause renvoyée au premier juge afin qu'il détermine si les autres conditions d'octroi de l'assistance juridique sont réunies.</w:t>
      </w:r>
    </w:p>
    <w:p>
      <w:r>
        <w:rPr>
          <w:b/>
        </w:rPr>
        <w:t>E. 4</w:t>
      </w:r>
    </w:p>
    <w:p>
      <w:r>
        <w:t>Sauf exceptions non réalisées en l'espèce, il n'est pas perçu de frais judiciaires pour la procédure d'assistance juridique (art. 119 al. 6 CPC). * * * * *</w:t>
      </w:r>
    </w:p>
    <w:p>
      <w:r>
        <w:t>- 6/6 -</w:t>
      </w:r>
    </w:p>
    <w:p>
      <w:r>
        <w:t>AC/1715/2016 PAR CES MOTIFS, LE VICE-PRÉSIDENT DE LA COUR : A la forme : Déclare recevable le recours formé le 22 juillet 2016 par A______ contre la décision rendue le 12 juillet 2016 par le Vice-président du Tribunal civil dans la cause AC/1715/2016. Préalablement : Ordonne l'apport de la procédure C/3802/2016. Au fond : Annule la décision entreprise. Cela fait et statuant à nouveau :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Me Manuel BOLIVAR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