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DAAJP/8/2008 vom 4. April 2008</w:t>
      </w:r>
    </w:p>
    <w:p>
      <w:r>
        <w:t>GE Cour de justice, 2008-04-04, FR</w:t>
      </w:r>
    </w:p>
    <w:p>
      <w:r>
        <w:rPr>
          <w:b/>
        </w:rPr>
        <w:t xml:space="preserve">Quelle: </w:t>
      </w:r>
      <w:r>
        <w:t>https://mcp.opencaselaw.ch/entscheid/ge_gerichte_DAAJP_8_2008</w:t>
      </w:r>
    </w:p>
    <w:p>
      <w:r>
        <w:t>FR: GE_GERICHTE DAAJP/8/2008 du 4 avril 2008</w:t>
      </w:r>
    </w:p>
    <w:p>
      <w:r>
        <w:t>IT: GE_GERICHTE DAAJP/8/2008 del 4 aprile 2008</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suffisamment d'éléments pour statuer.</w:t>
      </w:r>
    </w:p>
    <w:p>
      <w:r>
        <w:rPr>
          <w:b/>
        </w:rPr>
        <w:t>E. 2.1</w:t>
      </w:r>
    </w:p>
    <w:p>
      <w:r>
        <w:t>L’octroi de l’assistance juridique dépend de trois conditions cumulatives (art. 143A LOJ; art. 2 al. 1 et 3 al. 2 RAJ; CORBOZ, Le droit constitutionnel à l’assistance judiciaire, in SJ 2003 II 67, p. 75) : - que le requérant soit dans l’indigence, qui doit être appréciée au vu de la situation économique du requérant au moment du dépôt de sa requête (ATF 122 I 5, consid. 4c = JdT 1997 I 312; AUER/MALINVERNI/HOTTELIER, Droit constitutionnel suisse, Berne 2000, vol. II, n. 1561 p. 710); - que le recours aux services d’un avocat soit nécessaire; - que ses démarches judiciaires ne soient pas dépourvues de chances de succès.</w:t>
      </w:r>
    </w:p>
    <w:p>
      <w:r>
        <w:rPr>
          <w:b/>
        </w:rPr>
        <w:t>E. 2.2</w:t>
      </w:r>
    </w:p>
    <w:p>
      <w:r>
        <w:t>L’assistance d’un avocat rémunéré par l’Etat peut s’avérer indispensable en raison de la complexité de l’affaire ou des questions à résoudre, des connaissances insuffisantes du requérant ou encore de l’importance des intérêts en jeu. Elle ne se justifie pas lorsque les questions à résoudre ne soulèvent pas de problèmes particuliers (CORBOZ, op. cit., p. 80 et les références citées ; arrêt du Tribunal fédéral du 15 août 2007 6B.304/2007 c. 5.2). Dans ce cadre, la jurisprudence pose, en matière pénale, un certain nombre de critères pour l'octroi de l'assistance judiciaire (arrêt du Tribunal fédéral du 15 août 2007 6B.304/2007 c. 5.2 et référence citée): - si l'accusé risque concrètement une peine privative de liberté incompatible avec l'octroi du sursis ou une mesure équivalente, l'assistance d'un avocat lui est nécessaire</w:t>
      </w:r>
    </w:p>
    <w:p>
      <w:r>
        <w:t>- 4/6 -</w:t>
      </w:r>
    </w:p>
    <w:p>
      <w:r>
        <w:t>Erreur ! Nom de propriété de document inconnu. indépendamment de la complexité de la cause (ATF 126 I 196 consid. 3a; 122 I 51 consid. 2c); - si la peine ou la mesure est moins lourde, l'assistance de l'avocat n'est nécessaire que si la complexité de l'affaire (en fait ou en droit) et l'état du requérant (méconnaissance de la langue, du droit, troubles dans la santé physique ou mentale) le justifient (ATF 120 Ia 46 consid. 3); - si l'accusé n'encourt qu'une amende ou une peine privative de liberté de courte durée, de telle sorte que l'on puisse parler d'un cas bagatelle, l'assistance judiciaire n'est jamais due en vertu de la Constitution fédérale (ATF 120 Ia 45 consid. 2a; arrêt non publié M. du 29 septembre 2000, 1P.80/2000 consid. 2b).</w:t>
      </w:r>
    </w:p>
    <w:p>
      <w:r>
        <w:rPr>
          <w:b/>
        </w:rPr>
        <w:t>E. 2.3</w:t>
      </w:r>
    </w:p>
    <w:p>
      <w:r>
        <w:t>L'autorité examine l'ensemble des circonstances, notamment la complexité de la cause en fait ou en droit, l'existence ou non d'aveux de la part du prévenu, son degré de participation aux infractions ou leur qualification incertaine (ATF 120 Ia 43 consid. 2a); les capacités du prévenu, voire sa personnalité, doivent, le cas échéant, être pris en considération (ATF 122 I 49 consid. 2c/bb; 117 Ia 277 consid. 5b; 115 Ia 103 consid. 4; Plädoyer 1/95 p. 60).</w:t>
      </w:r>
    </w:p>
    <w:p>
      <w:r>
        <w:rPr>
          <w:b/>
        </w:rPr>
        <w:t>E. 3</w:t>
      </w:r>
    </w:p>
    <w:p>
      <w:r>
        <w:t>Le recourant fait grief au premier juge ne pas avoir tenu compte des art. 143A al. 2 LOJ et 4 al. 6 RAJ, dispositions qui lui garantissent, selon lui, le bénéfice de l’assistance juridique dans le cas d’espèce.</w:t>
      </w:r>
    </w:p>
    <w:p>
      <w:r>
        <w:t>Aux termes de l’art. 143A al. 2 LOJ, l’assistance juridique peut être refusée, sauf à un inculpé, un accusé ou un condamné dans une procédure postérieure au jugement, s’il est manifeste que les prétentions et les moyens de défense du requérant sont mal fondés.</w:t>
      </w:r>
    </w:p>
    <w:p>
      <w:r>
        <w:t>L’art. 4 al. 6 RAJ, dispose quant à lui, qu’en matière de défense pénale, l’assistance juridique est garantie en tous les cas.</w:t>
      </w:r>
    </w:p>
    <w:p>
      <w:r>
        <w:t>Ces deux dispositions légales sont entrées en vigueur le 1er janvier 2007, respectivement le 23 janvier 2007.</w:t>
      </w:r>
    </w:p>
    <w:p>
      <w:r>
        <w:t>L’art. 143A al. 2 LOJ a été modifié car la mention du seul inculpé prévu dans l’ancienne teneur de ladite disposition avait été jugée insuffisante, dans la mesure où elle ne visait pas les développements de la procédure subséquemment à l’instruction préparatoire. La loi devait également viser la phase des débats, d’où la mention de l’accusé. Enfin elle devait viser le condamné qui comparaissait dans une procédure postérieure au jugement (Mémorial du Grand Conseil 2005.2006/VIII A, séance 35 du 18 mai 2006, exposé des motifs, ad art. 143 A al. 2 LOJ).</w:t>
      </w:r>
    </w:p>
    <w:p>
      <w:r>
        <w:t>L’art. 4 al. 6 RAJ a été adopté par le Conseil d’Etat le 10 janvier 2007, à la suite de la modification susmentionnée apportée à l’art. 143A al. 2 LOJ, sans faire l’objet d’un rapport écrit. Ni la jurisprudence ni la doctrine ne se sont prononcées sur l’interprétation qu’il convenait de donner à ces deux dispositions légales, en particulier s’il fallait y voir une</w:t>
      </w:r>
    </w:p>
    <w:p>
      <w:r>
        <w:t>- 5/6 -</w:t>
      </w:r>
    </w:p>
    <w:p>
      <w:r>
        <w:t>Erreur ! Nom de propriété de document inconnu. volonté du législateur d’élargir les conditions d’octroi de l’assistance juridique en matière pénale. La Cour estime qu’une telle volonté ne résulte pas de l’exposé des motifs du Mémorial du Grand Conseil qui, au contraire, a précisé que la modification de la loi avait pour but de viser les développements de la procédure subséquemment à l’instruction préparatoire, ce qui n’était pas le cas précédemment, et donc à inclure expressément le cas de l’accusé et du condamné. Par conséquent, la décision d’octroi de l’assistance juridique dans le cadre d’une procédure pénale doit être prise certes en application des art. 143A al. 2 LOJ et 4 al. 6 RAJ mais pour autant que les critères d’octroi, rappelés au considérant 2 ci-dessus, sont remplis.</w:t>
      </w:r>
    </w:p>
    <w:p>
      <w:r>
        <w:rPr>
          <w:b/>
        </w:rPr>
        <w:t>E. 4</w:t>
      </w:r>
    </w:p>
    <w:p>
      <w:r>
        <w:t>En l’occurrence, sans qu’il soit nécessaire de trancher la question de savoir si le cas d’espèce constitue un cas bagatelle, auquel cas l’assistance juridique ne serait pas due, la présente affaire ne présente dans tous les cas aucune difficulté particulière, tant en fait qu’en droit, de sorte que le recours aux services d’un avocat n’est pas nécessaire.</w:t>
      </w:r>
    </w:p>
    <w:p>
      <w:r>
        <w:t>Le recourant soulève que l’affaire comporte des difficultés en fait car il conteste les reproches qui lui sont adressés. On relèvera à cet égard que le tribunal doit instruire d’office les faits dès lors que, selon la maxime inquisitoire applicable à tout procès pénal, le juge doit les prendre en considération pour former sa conviction et aboutir à la recherche de la vérité matérielle. De surcroît, la règle de droit applicable – l’art. 180 CP relatif à la menace – ne pose aucun problème particulièrement compliqué au point que chacun ne puisse la comprendre. C’est donc à juste titre que le Vice-président du Tribunal de première instance a refusé le bénéfice de l’assistance juridique au recourant.</w:t>
      </w:r>
    </w:p>
    <w:p>
      <w:r>
        <w:t>Le recours est rejeté et la décision entreprise est confirmée. PAR CES MOTIFS, LE PRESIDENT DE LA COUR : A la forme : Déclare recevable le recours formé par X______ contre la décision rendue le 25 janvier 2008 par le Vice-président du Tribunal de première instance dans la cause AP/91/2008. Préalablement : Ordonne l’apport de la cause P/18390/2007. Au fond : Rejette le recours et confirme la décision entreprise. Notifie une copie de la présente décision à X______ (art. 23 al. 2 RAJ).</w:t>
      </w:r>
    </w:p>
    <w:p>
      <w:r>
        <w:t>- 6/6 -</w:t>
      </w:r>
    </w:p>
    <w:p>
      <w:r>
        <w:t>Erreur ! Nom de propriété de document inconnu.</w:t>
      </w:r>
    </w:p>
    <w:p>
      <w:r>
        <w:t>Le président : Louis PEILA</w:t>
      </w:r>
    </w:p>
    <w:p>
      <w:r>
        <w:t>La greffière : Muriel REHFUSS</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