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C/9894/2014 vom 26. August 2016</w:t>
      </w:r>
    </w:p>
    <w:p>
      <w:r>
        <w:t>GE Cour de justice, 2016-08-26, FR</w:t>
      </w:r>
    </w:p>
    <w:p>
      <w:r>
        <w:rPr>
          <w:b/>
        </w:rPr>
        <w:t xml:space="preserve">Quelle: </w:t>
      </w:r>
      <w:r>
        <w:t>https://mcp.opencaselaw.ch/entscheid/ge_gerichte_C_9894_2014</w:t>
      </w:r>
    </w:p>
    <w:p>
      <w:r>
        <w:t>FR: GE_GERICHTE C/9894/2014 du 26 août 2016</w:t>
      </w:r>
    </w:p>
    <w:p>
      <w:r>
        <w:t>IT: GE_GERICHTE C/9894/2014 del 26 agosto 2016</w:t>
      </w:r>
    </w:p>
    <w:p>
      <w:pPr>
        <w:pStyle w:val="Heading2"/>
      </w:pPr>
      <w:r>
        <w:t>Regeste</w:t>
      </w:r>
    </w:p>
    <w:p>
      <w:r>
        <w:t>GARANTIE BANCAIRE ; APPEL À GARANTIE ; MESURE PROVISIONNELLE ; BLOCAGE ; ABUS DE DROIT</w:t>
      </w:r>
    </w:p>
    <w:p>
      <w:pPr>
        <w:pStyle w:val="Heading2"/>
      </w:pPr>
      <w:r>
        <w:t>Erwägungen</w:t>
      </w:r>
    </w:p>
    <w:p>
      <w:r>
        <w:rPr>
          <w:b/>
        </w:rPr>
        <w:t>E. 1.1</w:t>
      </w:r>
    </w:p>
    <w:p>
      <w:r>
        <w:t>Interjeté selon la forme et dans le délai prévu par la loi (soit dix jours en procédure sommaire, art. 248 let. d et 314 al. 1 CPC), dans une affaire patrimoniale dont la valeur litigieuse au dernier état des conclusions est de 10'000 fr. au moins (art. 308 al. 1 let. b CPC), le présent appel est recevable.![endif]&gt;![if&gt;</w:t>
      </w:r>
    </w:p>
    <w:p>
      <w:r>
        <w:rPr>
          <w:b/>
        </w:rPr>
        <w:t>E. 1.2</w:t>
      </w:r>
    </w:p>
    <w:p>
      <w:r>
        <w:t>Il n'est pas contesté que les tribunaux genevois sont compétents ratione loci en vertu de l'art. 10 LDIP, selon lequel les autorités judiciaires ou administratives suisses peuvent ordonner des mesures provisoires, même si elles ne sont pas compétentes pour connaître du fond. Le litige porte en l'espèce sur l'interdiction d'honorer des garanties bancaires faite à l'intimée D______, dont le siège se trouve à Genève. L'application du droit suisse à toutes les questions indépendantes du droit matériel, notamment celles relatives au déroulement de la procédure, aux moyens probatoires et aux exigences quant à la preuve des faits allégués, n'est pas davantage contestée (cf. Bucher, Commentaire romand LDIP/CL, 2011, n. 10 ad art. 10 LDIP).</w:t>
      </w:r>
    </w:p>
    <w:p>
      <w:r>
        <w:rPr>
          <w:b/>
        </w:rPr>
        <w:t>E. 1.3</w:t>
      </w:r>
    </w:p>
    <w:p>
      <w:r>
        <w:t>L'appel peut être formé pour violation du droit (art. 310 let. a CPC) et constatation inexacte des faits (art. 310 let. b CPC). Le juge d'appel dispose d'un plein pouvoir d'examen de la cause en fait et en droit.</w:t>
      </w:r>
    </w:p>
    <w:p>
      <w:r>
        <w:rPr>
          <w:b/>
        </w:rPr>
        <w:t>E. 2.1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b).![endif]&gt;![if&gt;</w:t>
      </w:r>
    </w:p>
    <w:p>
      <w:r>
        <w:rPr>
          <w:b/>
        </w:rPr>
        <w:t>E. 2.2</w:t>
      </w:r>
    </w:p>
    <w:p>
      <w:r>
        <w:t>En l'espèce, l'intimée B______ a produit devant la Cour diverses pièces non soumises au Tribunal, établies postérieurement à la date à laquelle ce dernier a gardé la cause à juger. La recevabilité de ces pièces n'est pas contestée, à l'exception de celle d'un avis de droit irakien daté du 20 avril 2016. A ce propos, la Cour constate avec l'intimée que cet avis de droit constitue une nouvelle version d'un précédent avis de droit du même auteur, produit à deux reprises par l'intimée devant le Tribunal. Cette version est essentiellement complétée et actualisée au vu de l'évolution de la situation sécuritaire et judiciaire en Irak. Les éléments apportés sur ces points étant nouveaux, on ne saurait reprocher à l'intimée de ne pas en avoir fait état au stade de la première instance. La recevabilité de ce nouvel avis de droit doit donc être admise, comme celle des autres pièces produites par l'intimée B______.</w:t>
      </w:r>
    </w:p>
    <w:p>
      <w:r>
        <w:rPr>
          <w:b/>
        </w:rPr>
        <w:t>E. 2.3</w:t>
      </w:r>
    </w:p>
    <w:p>
      <w:r>
        <w:t>Les dernières pièces produites par l'intimée rendent au surplus vraisemblable que celle-ci a agi en validation des mesures ordonnées par le Tribunal, de sorte que les conclusions de l'appelante tendant à ce qu'il soit ordonné à l'intimée de justifier de cette validation sont désormais sans objet.</w:t>
      </w:r>
    </w:p>
    <w:p>
      <w:r>
        <w:rPr>
          <w:b/>
        </w:rPr>
        <w:t>E. 3</w:t>
      </w:r>
    </w:p>
    <w:p>
      <w:r>
        <w:t>Sur le fond, l'appelante reproche au Tribunal d'avoir ordonné les mesures provisionnelles requises, soit d'avoir fait interdiction à l'intimée D______ de lui verser les sommes faisant l'objet des contre-garanties n° 1______ et 2______. Elle conteste notamment que son appel auxdites contre-garanties soit abusif.![endif]&gt;![if&gt;</w:t>
      </w:r>
    </w:p>
    <w:p>
      <w:r>
        <w:rPr>
          <w:b/>
        </w:rPr>
        <w:t>E. 3.1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w:t>
      </w:r>
    </w:p>
    <w:p>
      <w:r>
        <w:rPr>
          <w:b/>
        </w:rPr>
        <w:t>E. 3.1.1</w:t>
      </w:r>
    </w:p>
    <w:p>
      <w:r>
        <w:t>Le requérant doit notamment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acquiert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w:t>
      </w:r>
    </w:p>
    <w:p>
      <w:r>
        <w:rPr>
          <w:b/>
        </w:rPr>
        <w:t>E. 3.1.2</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(ATF 131 III 511 consid. 4.2 et les références citées). Il faut distinguer principalement entre deux types de garanties, la garantie indépendante ou principale et la garantie dite accessoire. Dans le premier cas, la banque assure la prestation promise au créancier comme telle, indépendamment du contenu et de la validité de l'obligation découlant du rapport de base entre le bénéficiaire et le donneur d'ordre, alors que, lorsque la garantie est accessoire, la banque lie son obligation de paiement éventuelle à l'inexécution du contrat de base entre le donneur d'ordre et le bénéficiaire (ATF 131 III 511 consid. 4.2 et les références citées). En présence d'une garantie indépendante,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(ATF 131 III 511 consid. 4.2). Le garant doit honorer son engagement sans égard à un éventuel litige relatif au contrat de base, aussitôt après l'appel du bénéficiaire, si les conditions de mise en jeu, telles que précisées dans la lettre d'engagement, sont réunies (ATF 138 III 241 consid. 3.2; 131 III 511 consid. 4.2; ATF 122 III 273 consid. 3 a/aa, 321 consid. 4a). Le garant appelé à exécuter son engagement ne peut donc opposer au bénéficiaire d'autres exceptions que celles tirées du contrat de garantie et ne peut exiger de lui d'autres justifications que celles que stipulait, le cas échéant, ce contrat (ATF 122 III 321 consid. 4a). Une garantie indépendante n'est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(art. 2 CC; arrêt du Tribunal fédéral 4A_463/2011 du 5 octobre 2011 consid. 3.1).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et les références). Pour éviter de porter atteinte au principe de l'indépendance de la garantie bancaire, l'abus de droit doit être manifeste et ne laisser planer aucun doute. En d'autres termes, le refus de paiement d'une telle garantie, au motif que le bénéficiaire y fait appel de manière abusive, doit rester exceptionnel (arrêts du Tribunal fédéral 4A_111/2014 du 31 octobre 2014 consid. 3.3; 4A_463/2011 du 5 octobre 2011, consid. dx3.1; 4C.12/2007 du 26 juin 2007 consid. 3.1; 4P.44/2005 du 21 juin 2005 consid. 4.2.1). En cas de garantie indirecte, lorsque le donneur d'ordre agit contre une banque contre-garante située en Suisse, la question décisive n'est pas de savoir si l'appel à la garantie par le bénéficiaire est abusif, ce qui relève le cas échéant du droit étranger applicable aux relations entre le bénéficiaire et la banque garante, mais de savoir si l'appel à la contre-garantie par la banque garante est également constitutif d'un abus de droit. Cela étant, l'appel à la contre-garantie n'est en règle générale abusif que dans la mesure où le bénéficiaire a lui-même appelé abusivement la garantie. Un double abus de droit (du bénéficiaire exigeant le paiement de la garantie et de la banque garante faisant appel à la contre-garantie) doit donc en principe être prouvé par le donneur d'ordre. Tel est notamment le cas lorsque la banque garante agit en collusion avec le bénéficiaire, ou lorsque cette banque aurait dû refuser d'honorer la garantie en vertu du droit applicable ou de son obligation contractuelle de sauvegarder les intérêts de la banque contre-garante (De Gottrau, Garantie bancaire II, FJS n. 1349, p. 32).</w:t>
      </w:r>
    </w:p>
    <w:p>
      <w:r>
        <w:rPr>
          <w:b/>
        </w:rPr>
        <w:t>E. 3.2</w:t>
      </w:r>
    </w:p>
    <w:p>
      <w:r>
        <w:t>En l'espèce, il n'est pas contesté que les garanties émises par l'appelante A______ et les contre-garanties émises par l'intimée D______ étaient de nature indépendante, la garante et la contre-garante s'engageant respectivement à verser les montants garantis à première demande, indépendamment de tout litige existant entre les parties aux contrats de base et sans pouvoir se prévaloir d'objections ou d'exceptions tirées desdits contrats. Conformément aux principes rappelés ci-dessus, une éventuelle interdiction faite à la contre-garante, soit D______, d'honorer ses engagements envers la garante A______, suppose donc l'existence d'un abus de droit manifeste dans l'appel de la bénéficiaire E______ à la garantie émise par l'appelante A______, ainsi que dans l'appel de cette dernière à la contre-garantie émise par D______.</w:t>
      </w:r>
    </w:p>
    <w:p>
      <w:r>
        <w:rPr>
          <w:b/>
        </w:rPr>
        <w:t>E. 3.2.1</w:t>
      </w:r>
    </w:p>
    <w:p>
      <w:r>
        <w:t>Le litige trouve son fondement dans les lettres de crédit proposées par la bénéficiaire E______ à l'intimée et donneur d'ordre B______. Comme l'a retenu le Tribunal, il est notamment vraisemblable que l'origine du litige soit imputable à E______, qui a remis à B______ des lettres de crédit par hypothèse non conformes aux contrats de vente conclus entre les parties. En conséquence, il est également vraisemblable que l'appel de la bénéficiaire E______ aux garanties émises en sa faveur puisse se révéler abusif, notamment si l'intimée C______ devait effectivement être responsable de l'inexécution des contrats de vente litigieux. Les avis de droit produits par l'intimée B______ confirment l'existence d'un abus de droit au regard du droit irakien en pareille hypothèse. Cela étant, l'existence d'un tel abus de droit ne peut en l'espèce être considérée comme manifeste, au sens des principes rappelés ci-dessus. En particulier, il reste plausible à ce stade que l'inexécution des contrats de vente soit en définitive imputable à l'intimée B______, plutôt qu'à la bénéficiaire E______. Cette dernière, qui a tenté d'obtenir l'exécution des contrats de vente de la part de B______, soutient notamment que les lettres de crédit remises à B______ permettaient la bonne exécution desdits contrats. Cela demeure pour l'heure vraisemblable et C______ ne commettrait alors pas d'abus de droit en recourant aux garanties litigieuses. Les seuls avis de droit produits par l'intimée B______ ne permettent pas de considérer que la responsabilité de l'intimée C______ serait établie avec certitude, ni même que celle-ci serait manifestement engagée. La réponse à ces questions nécessite un examen approfondi, qui relève de la seule compétence du juge du fond. A ce stade, le seul fait que les prétentions de l'intimée B______ contre l'intimée C______ n'apparaissent pas dépourvues de chances de succès, comme l'a relevé le Tribunal, ne permet pas de retenir que l'appel de cette dernière aux garanties dont elle bénéficie serait manifestement abusif. Pour ces, motifs déjà, l'ordonnance entreprise doit être annulée et l'intimée B______ déboutée des fins de ses requêtes de mesures provisionnelles.</w:t>
      </w:r>
    </w:p>
    <w:p>
      <w:r>
        <w:rPr>
          <w:b/>
        </w:rPr>
        <w:t>E. 3.2.2</w:t>
      </w:r>
    </w:p>
    <w:p>
      <w:r>
        <w:t>L'existence d'un abus de droit dans l'appel de la garante A______ aux contre-garanties émises en sa faveur par l'intimée D______ ne peut davantage être considérée comme manifeste en l'espèce. L'intimée B______, à qui il incombe de démontrer un tel abus de droit, n'allègue notamment pas qu'il existerait une quelconque collusion entre la bénéficiaire E______ et la garante A______, dans le but d'obtenir le versement des prestations de la contre-garante D______ à son détriment. Le seul fait que la bénéficiaire E______ et la garante A______ puissent être toutes deux détenues par l'intimée C______, ce que l'intimée B______ n'allègue d'ailleurs pas en tant que fait, ne permet pas de présumer une telle collusion. L'intimée ne soutient par ailleurs pas que E______ n'aurait eu d'emblée aucune intention d'exécuter les contrats de vente litigieux, ni que les garanties accordées par A______ à celle-ci auraient revêtu un caractère fictif. Dans sa réponse à l'appel, l'intimée B______ admet au contraire que l'appelante A______ a effectivement versé les sommes garanties à la bénéficiaire E______, en vertu de ses engagements envers celle-ci. L'intimée ne démontre pas non plus que les conditions formelles d'appel aux garanties concernées, soit une simple requête écrite invoquant des dommages imputables à B______, n'auraient pas été respectées, de sorte que A______ n'aurait manifestement pas dû honorer ses propres garanties au regard du droit applicable. Le fait que l'appelante A______ ait elle-même participé à l'émission des lettres de crédit litigieuses ne permet pas non plus de retenir que celle-ci aurait sciemment incorporé auxdites lettres de crédit des erreurs empêchant l'intimée B______ d'en respecter les conditions et d'obtenir le paiement des prix de vente, ni que l'appelante dût ensuite se rendre compte de ce qu'en raison du libellé desdites lettres de crédit, l'inexécution des contrats de vente était nécessairement imputable à l'acheteuse E______ plutôt qu'à la venderesse B______. A ce stade, l'appel aux contre-garanties n'apparaît pas manifestement incompatible avec l'attention et la diligence que les circonstances permettaient d'attendre de l'appelante A______, ni avec l'obligation de celle-ci de veiller aux intérêts de la banque contre-garante. Ainsi, l'appel doit également être admis en raison de l'absence d'abus de droit manifeste dans l'appel de la garante A______ aux contre-garanties émises par l'intimée D______. L'ordonnance entreprise sera en conséquence annulée et l'intimée B______ sera déboutée des fins de ses requêtes de mesures provisionnelles, sans qu'il y ait lieu d'examiner les autres griefs formulés par l'appelante.</w:t>
      </w:r>
    </w:p>
    <w:p>
      <w:r>
        <w:rPr>
          <w:b/>
        </w:rPr>
        <w:t>E. 3.3</w:t>
      </w:r>
    </w:p>
    <w:p>
      <w:r>
        <w:t>L'appelante conclut reconventionnellement à ce que l'intimée D______ soit condamnée à lui verser le montant des contre-garanties émises en sa faveur. Le paiement d'une somme d'argent ne peut cependant être ordonné par voie de mesures provisionnelles que lorsque la loi le prévoit expressément (cf. art. 262 let. e CPC). Tel n'est pas le cas en l'espèce, ce que l'appelante ne soutient d'ailleurs pas. Par conséquent, l'appelante sera déboutée de ses conclusions reconventionnelles en paiement. Dès lors que la décision rendue sur mesures provisionnelles remplace les décisions sur mesures superprovisionnelles (cf. ATF 139 III 86 consid. 1.1.1), il n'est par ailleurs pas nécessaire de donner suite aux conclusions de l'appelante tendant à la révocation des ordonnances rendues sur mesures superprovisionnelles. Enfin, la requête de mesures provisionnelles étant rejetée, l'intimée ne saurait être astreinte à fournir des sûretés. L'appelante sera également déboutée de ses conclusions subsidiaires en ce sens.</w:t>
      </w:r>
    </w:p>
    <w:p>
      <w:r>
        <w:rPr>
          <w:b/>
        </w:rPr>
        <w:t>E. 4.1</w:t>
      </w:r>
    </w:p>
    <w:p>
      <w:r>
        <w:t>Lorsque la Cour statue à nouveau, elle se prononce sur les frais fixés par le Tribunal (art. 318 al. 3 CPC).![endif]&gt;![if&gt; Vu l'issue du litige, les frais judiciaires de première instance seront mis à la charge de l'intimée B______, qui succombe (art. 106 al. 1 CPC). Le montant de ces frais, qui n'est pas contesté, sera fixé à 16'000 fr. pour les deux requêtes (art. 13 et 26 RTFMC) et partiellement compensé avec l'avance de 12'600 fr. fournie par l'intimée, qui demeure acquise à l'Etat. L'intimée sera condamnée à verser à l'Etat le solde de 3'400 fr. (art. 111 al. 1 CPC). L'intimée B______ sera également condamnée à verser à l'appelante la somme de 12'000 fr. à titre de dépens de première instance (art. 23 al. 1, art. 25 et 26 LaCC; art. 85 et 88 RTFMC). De tels dépens ne seront pas alloués à l'intimée C, qui n'a pas comparu devant le Tribunal, ni à l'intimée D______, qui s'en est rapportée à justice.</w:t>
      </w:r>
    </w:p>
    <w:p>
      <w:r>
        <w:rPr>
          <w:b/>
        </w:rPr>
        <w:t>E. 4.2</w:t>
      </w:r>
    </w:p>
    <w:p>
      <w:r>
        <w:t>Les frais judiciaires d'appel seront également mis à la charge de l'intimée B______, qui succombe (art. 106 al. 1 CPC). Ils seront arrêtés à 3'400 fr. (art. 26 et 37 RTFMC) et compensés avec les avances de même montant fournies par l'appelante, qui demeurent acquises à l'Etat (art. 111 al. 1 CPC). L'intimée B______ sera condamnée à payer à l'appelante la somme de 3'400 fr. à titre de remboursement de frais judiciaires d'appel (art. 111 al. 2 CPC). L'intimée B______ sera également condamnée à verser à l'appelante la somme de 6'000 fr. à titre de dépens d'appel (art. 85, 88 et 90 RTFMC), débours et TVA compris (art. 25 et 26 LaCC). Il ne sera pas alloué de dépens aux intimées C et D______, qui ne se sont pas déterminées sur l'appel.</w:t>
      </w:r>
    </w:p>
    <w:p>
      <w:r>
        <w:rPr>
          <w:b/>
        </w:rPr>
        <w:t>E. 5</w:t>
      </w:r>
    </w:p>
    <w:p>
      <w:r>
        <w:t>Le présent arrêt est susceptible d'un recours en matière civile au Tribunal fédéral (art. 72 al. 1 LTF), la valeur litigieuse au sens de l'art. 74 al. 1 let. b LTF étant supérieure à 30'000 fr. Les moyens sont toutefois limités à la violation des droits constitutionnels (art. 98 LTF).![endif]&gt;![if&gt; * * * * * PAR CES MOTIFS, La Chambre civile : A la forme : Déclare recevable l'appel interjeté le 18 janvier 2016 par A______ contre l'ordonnance OTPI/753/2015 rendue le 17 décembre 2015 par le Vice-président du Tribunal de première instance dans la cause C/9894/2014-4 SP. Au fond : Annule l'ordonnance entreprise et, statuant à nouveau : Déboute B______ des fins de ses requêtes de mesures provisionnelles déposées les 20 et 27 mai 2014. Arrête les frais judiciaires de première instance à 16'000 fr., les met à la charge de B______ et les compense avec l'avance de frais de 12'600 fr. fournie par celle-ci, qui demeure acquise à l'Etat de Genève. Condamne B______ à payer à l'Etat de Genève, soit pour lui les Services financiers du Pouvoir judiciaire, la somme de 3'400 fr. à titre de solde de frais judiciaires de première instance. Condamne B______ à payer à A______ la somme de 12'000 fr. à titre de dépens de première instance. Déboute les parties de toutes autres conclusions. Sur les frais : Arrête les frais judiciaires d'appel à 3'400 fr., les met à la charge de B______ et les compense avec les avances de frais de même montant fournies par A______, qui demeurent acquises à l'Etat de Genève. Condamne B______ à payer à A______ la somme de 3'400 fr. à titre de remboursement des frais judiciaires d'appel. Condamne B______ à payer à A______ la somme de 6'000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