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C/9693/2013 vom 17. Oktober 2017</w:t>
      </w:r>
    </w:p>
    <w:p>
      <w:r>
        <w:t>GE Cour de justice, 2017-10-17, FR</w:t>
      </w:r>
    </w:p>
    <w:p>
      <w:r>
        <w:rPr>
          <w:b/>
        </w:rPr>
        <w:t xml:space="preserve">Quelle: </w:t>
      </w:r>
      <w:r>
        <w:t>https://mcp.opencaselaw.ch/entscheid/ge_gerichte_C_9693_2013</w:t>
      </w:r>
    </w:p>
    <w:p>
      <w:r>
        <w:t>FR: GE_GERICHTE C/9693/2013 du 17 octobre 2017</w:t>
      </w:r>
    </w:p>
    <w:p>
      <w:r>
        <w:t>IT: GE_GERICHTE C/9693/2013 del 17 ottobre 2017</w:t>
      </w:r>
    </w:p>
    <w:p>
      <w:pPr>
        <w:pStyle w:val="Heading2"/>
      </w:pPr>
      <w:r>
        <w:t>Regeste</w:t>
      </w:r>
    </w:p>
    <w:p>
      <w:r>
        <w:t>ATTRIBUTION DE L'EFFET SUSPENSIF | CPC.325;</w:t>
      </w:r>
    </w:p>
    <w:p>
      <w:pPr>
        <w:pStyle w:val="Heading2"/>
      </w:pPr>
      <w:r>
        <w:t>Volltext</w:t>
      </w:r>
    </w:p>
    <w:p>
      <w:r>
        <w:t>Genf Cour de Justice (Cour civile) Chambre civile 17.10.2017 C/9693/2013 Genève Cour de Justice (Cour civile) Chambre civile 17.10.2017 C/9693/2013 Ginevra Cour de Justice (Cour civile) Chambre civile 17.10.2017 C/9693/2013</w:t>
      </w:r>
    </w:p>
    <w:p>
      <w:r>
        <w:t>ATTRIBUTION DE L'EFFET SUSPENSIF | CPC.325;</w:t>
      </w:r>
    </w:p>
    <w:p>
      <w:r>
        <w:t>C/9693/2013 ACJC/1327/2017 du 17.10.2017 sur JTPI/4849/2017 ( SDF ) Descripteurs : ATTRIBUTION DE L'EFFET SUSPENSIF Normes : CPC.325; Par ces motifs RÉPUBLIQUE ET CANTON DE GENÈVE POUVOIR JUDICIAIRE C/9693/2013 ACJC/1327/2017 ARRÊT DE LA COUR DE JUSTICE Chambre civile du MARDI 17 OCTOBRE 2017 Entre A______ , domiciliée 1______, ______, appelante d'un jugement rendu par la 18ème Chambre du Tribunal de première instance de ce canton le 6 avril 2017, comparant par Me Razi Abderrahim, avocat, 2, Rond-Point de Plainpalais, 1205 Genève, en l'étude duquel elle fait élection de domicile, et B______ , domicilié 1______, ______, intimé, comparant par Me Yves Magnin, avocat, 2, rue de la Rôtisserie, case postale 3809, 1211 Genève 3, en l'étude duquel il fait élection de domicile. Attendu, EN FAIT , que, par jugement JTPI/4849/17 du 6 avril 2017, le Tribunal de première instance, statuant sur mesures protectrices de l'union conjugale, a notamment attribué à B______ la jouissance exclusive du domicile conjugal sis 1______, ______ et du mobilier le garnissant (ch. 1 du dispositif), imparti à A______ un délai au 30 septembre 2017 pour quitter ce domicile conjugal (ch. 2), confirmé pour le surplus le jugement du Tribunal de première instance du 21 février 2012, confirmé par arrêt de la Cour du 8 août 2012 (ch. 3) et statué sur les dépens (ch. 5 à 7); Que, par acte expédié à la Cour de justice le 18 avril 2017, A______ a formé appel contre ce jugement, concluant notamment à ce que la Cour annule les chiffres 1 et 2 de son dispositif, lui attribue le domicile conjugal et impartisse à son époux un délai de 15 jours pour le quitter; Qu'elle a requis l'octroi de l'effet suspensif à son appel, faisant valoir qu'à défaut elle risquait de subir un préjudice difficilement réparable; Que B______ a conclu le 16 octobre 2017 au rejet de la requête d'effet suspensif;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le maintien du caractère exécutoire des chiffres 1 et 2 du jugement contesté contraindrait l'appelante à entreprendre des démarches (signature d'un nouveau contrat de bail, déménagement) qui ne seraient que difficilement réversibles dans l'hypothèse, qui ne peut être d'emblée exclue, où elle obtiendrait gain de cause; Qu'à l'inverse l'intimé ne subira pas de préjudice difficilement réparable du fait du maintien, pour quelques mois supplémentaires, de la situation actuelle, laquelle dure depuis plusieurs années puisqu'une première requête de mesures protectrices de l'union conjugale tendant à l'attribution à l'appelante du domicile conjugal avait été rejetée par jugement du Tribunal du 21 février 2012, confirmé par la Cour; Que la requête de suspension de la force exécutoire des chiffres 1 et 2 du dispositif de la décision querellée sera donc admise; Qu'il sera statué sur les frais et dépens liés à la présente décision avec la décision au fond (art. 104 al. 3 CPC). * * * * * * PAR CES MOTIFS, La Chambre civile : Statuant sur requête de suspension du caractère exécutoire du jugement entrepris : Admet la requête de A______ tendant à suspendre le caractère exécutoire des chiffres 1 et 2 du dispositif du jugement JTPI/4849/17 rendu le 6 avril 2017 par le Tribunal de première instance dans la cause C/9693/2013-18. Déboute les parties de toutes autres conclusions. Dit qu'il sera statué sur les frais et dépens de la présente décision avec la décision sur le fond. Siégeant : Madame Paola CAMPOMAGNANI, présidente ad interim; Madame Anne-Lise JAQUIER, greffière. La présidente ad interim : Paola CAMPOMAGNANI La greffière : Anne-Lise JAQUIER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