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C/9528/2022 vom 29. Februar 2024</w:t>
      </w:r>
    </w:p>
    <w:p>
      <w:r>
        <w:t>GE Cour de justice, 2024-02-29, FR</w:t>
      </w:r>
    </w:p>
    <w:p>
      <w:r>
        <w:rPr>
          <w:b/>
        </w:rPr>
        <w:t xml:space="preserve">Quelle: </w:t>
      </w:r>
      <w:r>
        <w:t>https://mcp.opencaselaw.ch/entscheid/ge_gerichte_C_9528_2022</w:t>
      </w:r>
    </w:p>
    <w:p>
      <w:r>
        <w:t>FR: GE_GERICHTE C/9528/2022 du 29 février 2024</w:t>
      </w:r>
    </w:p>
    <w:p>
      <w:r>
        <w:t>IT: GE_GERICHTE C/9528/2022 del 29 febbraio 2024</w:t>
      </w:r>
    </w:p>
    <w:p>
      <w:pPr>
        <w:pStyle w:val="Heading2"/>
      </w:pPr>
      <w:r>
        <w:t>Erwägungen</w:t>
      </w:r>
    </w:p>
    <w:p>
      <w:r>
        <w:rPr>
          <w:b/>
        </w:rPr>
        <w:t>E. 3</w:t>
      </w:r>
    </w:p>
    <w:p>
      <w:r>
        <w:t>mai 2018 consid. 3.3.2). Que s'agissant du paiement de sommes d'argent, il appartient à la partie recourante qui requiert la restitution de l'effet suspensif de démontrer qu'à défaut de son prononcé elle serait exposée à d'importantes difficultés financières ou qu'elle ne pourrait pas obtenir le remboursement du montant payé au cas où elle obtiendrait gain de cause au fond (ATF 138 III 333 consid. 1.3.1; 137 III 637 consid. 1.2); Que, toutefois, le Tribunal fédéral accorde généralement l'effet suspensif pour le paiement des arriérés de pensions (arrêts du Tribunal fédéral 5A_954/2012 du 30 janvier 2013 consid. 4; 5A_783/2010 du 8 avril 2011 let. D); Qu'en l'espèce, l'appelant n'expose pas le dommage difficilement réparable dont il aurait à souffrir si l'effet suspensif n'était pas octroyé à son appel, ni la situation financièrement intolérable à laquelle il serait confronté; qu'il dispose de moyens importants lui permettant de régler la pension courante de son épouse; que le paiement de l'arriéré, qui ne porte que sur trois mois, pourra le cas échéant être effectué en plusieurs acomptes; que le fait que l'intimée soit en mesure de couvrir ses charges par ses revenus n'est pas pertinent; Que l'éventuelle incapacité de l'épouse à rembourser la contribution perçue en cas d'admission de l'appel, vu ses moyens limités, pourrait justifier en revanche l'effet suspensif; que toutefois, si l'appel ne peut être considéré d'emblée dénué de chances de succès, il semble peu probable qu'un revenu hypothétique ou le clean break soit retenu au préjudice de l'intimée rétroactivement, de sorte que la question de la restitution des contributions d'entretien a peu de risque de se poser; Que l'effet suspensif requis sera par conséquent refusé; Qu'il sera statué sur les frais liés à la présente décision dans l'arrêt rendu sur le fond (art. 104 al. 3 CPC). * * * * * PAR CES MOTIFS, La Chambre civile : Statuant sur requête de suspension de l'effet exécutoire du jugement entrepris : Rejette la requête de A______ tendant à la suspension de l'effet exécutoire de l'ordonnance OTPI/61/2024 rendue le 19 janvier 2024 par le Tribunal de première instance dans la cause C/9528/2022. Réserve la décision sur les frais à la décision sur le fond. Siégeant : Monsieur Jean REYMOND, président ad interim ; Madame Sandra CARRIER, greffière. Le président ad interim : Jean REYMOND La greffière : Sandra CARRIER Indication des voies de recours : La présente décision, incidente et de nature provisionnelle (ATF 137 III 475 consid. 1 et 2), est susceptible d'un recours en matière civile (art. 72 ss de la loi fédérale sur le Tribunal fédéral du 17 juin 2005; ci-après LTF;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(art. 100 al. 1 LTF).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