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C/9364/2022 vom 29. August 2023</w:t>
      </w:r>
    </w:p>
    <w:p>
      <w:r>
        <w:t>GE Cour de justice, 2023-08-29, FR</w:t>
      </w:r>
    </w:p>
    <w:p>
      <w:r>
        <w:rPr>
          <w:b/>
        </w:rPr>
        <w:t xml:space="preserve">Quelle: </w:t>
      </w:r>
      <w:r>
        <w:t>https://mcp.opencaselaw.ch/entscheid/ge_gerichte_C_9364_2022</w:t>
      </w:r>
    </w:p>
    <w:p>
      <w:r>
        <w:t>FR: GE_GERICHTE C/9364/2022 du 29 août 2023</w:t>
      </w:r>
    </w:p>
    <w:p>
      <w:r>
        <w:t>IT: GE_GERICHTE C/9364/2022 del 29 agosto 2023</w:t>
      </w:r>
    </w:p>
    <w:p>
      <w:pPr>
        <w:pStyle w:val="Heading2"/>
      </w:pPr>
      <w:r>
        <w:t>Regeste</w:t>
      </w:r>
    </w:p>
    <w:p>
      <w:r>
        <w:t>CC.273; CC.274; CC.276; CC.285</w:t>
      </w:r>
    </w:p>
    <w:p>
      <w:pPr>
        <w:pStyle w:val="Heading2"/>
      </w:pPr>
      <w:r>
        <w:t>Erwägungen</w:t>
      </w:r>
    </w:p>
    <w:p>
      <w:r>
        <w:rPr>
          <w:b/>
        </w:rPr>
        <w:t>E. 3</w:t>
      </w:r>
    </w:p>
    <w:p>
      <w:r>
        <w:t>L'intimée conclut à ce que les pièces 27 et 34 déposées par l’appelant devant le Tribunal soient écartées de la procédure vu leur illicéité.</w:t>
      </w:r>
    </w:p>
    <w:p>
      <w:r>
        <w:rPr>
          <w:b/>
        </w:rPr>
        <w:t>E. 3.1</w:t>
      </w:r>
    </w:p>
    <w:p>
      <w:r>
        <w:t>Aux termes de l'art. 152 al. 2 CPC, le tribunal ne prend en considération les moyens de preuve obtenus de manière illicite que si l'intérêt à la manifestation de la vérité est prépondérant.</w:t>
      </w:r>
    </w:p>
    <w:p>
      <w:r>
        <w:rPr>
          <w:b/>
        </w:rPr>
        <w:t>E. 3.2</w:t>
      </w:r>
    </w:p>
    <w:p>
      <w:r>
        <w:t>Si le caractère illicite des photographies produites par l'appelant est établi, l'intimée ne critique toutefois pas la décision du premier juge en tant qu'il a retenu qu'il devait malgré tout être tenu compte de ces pièces, l'intérêt à la manifestation de la vérité l'emportant sur la protection de la personnalité de l'intimée et des enfants. Partant, l'intimée sera déboutée de sa conclusion.</w:t>
      </w:r>
    </w:p>
    <w:p>
      <w:r>
        <w:rPr>
          <w:b/>
        </w:rPr>
        <w:t>E. 4</w:t>
      </w:r>
    </w:p>
    <w:p>
      <w:r>
        <w:t>L'appelant a préalablement conclu à ce que la Cour ordonne un complément de rapport du SEASP).</w:t>
      </w:r>
    </w:p>
    <w:p>
      <w:r>
        <w:rPr>
          <w:b/>
        </w:rPr>
        <w:t>E. 4.1</w:t>
      </w:r>
    </w:p>
    <w:p>
      <w:r>
        <w:t>Conformément à l'art. 316 al. 3 CPC, l'instance d'appel peut librement décider d'administrer des preuves. Le juge peut, par une appréciation anticipée des preuves déjà disponibles, refuser d'administrer une preuve supplémentaire offerte par une partie s'il considère que celle-ci serait impropre à ébranler sa conviction, refuser d'administrer cette preuve (ATF 141 I 60 consid. 3.3; arrêt du Tribunal fédéral 5A_82/2022 du 26 avril 2022 consid. 5.1 et les références citées).</w:t>
      </w:r>
    </w:p>
    <w:p>
      <w:r>
        <w:rPr>
          <w:b/>
        </w:rPr>
        <w:t>E. 4.2</w:t>
      </w:r>
    </w:p>
    <w:p>
      <w:r>
        <w:t>En l'espèce, l'appelant ayant débuté ses consultations auprès de [l'association] J______ postérieurement aux entretiens réalisés par le SEASP dans le cadre de la procédure, le thérapeute de l'appelant au sein de cette association n'a pas été entendu. L'appelant a toutefois produit une attestation rédigée par celui-ci et il n'indique pas quel complément d'information une audition de ce thérapeute par le SEASP pourrait apporter. La cause étant en état d'être jugée, la requête préalable de l'appelant sera rejetée.</w:t>
      </w:r>
    </w:p>
    <w:p>
      <w:r>
        <w:rPr>
          <w:b/>
        </w:rPr>
        <w:t>E. 5</w:t>
      </w:r>
    </w:p>
    <w:p>
      <w:r>
        <w:t>L'appelant reproche au Tribunal de ne pas lui avoir accordé un droit de visite non surveillé alors qu'il a toujours été un bon père pour les enfants et qu'il n'a jamais été violent ni dangereux à leur encontre, au contraire de l'intimée. 5.1.1 Le père ou la mère qui ne détient pas l'autorité parentale ou la garde ainsi que l'enfant mineur ont réciproquement le droit d'entretenir les relations personnelles indiquées par les circonstances (art. 273 al. 1 CC). Autrefois considéré comme un droit naturel des parents, le droit aux relations personnelles est désormais conçu à la fois comme un droit et un devoir de ceux-ci (art. 273 al. 2 CC), mais aussi comme un droit de la personnalité de l'enfant; il doit servir en premier lieu l'intérêt de celui-ci (ATF 127 III 295 consid. 4a; 123 III 445 consid. 3b). 5.1.2 A teneur de l'art. 274 al. 2 CC,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refusé ou retiré. Le droit de visite peut aussi être restreint. D'après la jurisprudence, il existe un danger pour le bien de l'enfant si son développement physique, moral ou psychique est menacé par la présence, même limitée, du parent qui n'a pas l'autorité parentale. La jurisprudence cite la maltraitance psychique ou physique (arrêt du Tribunal fédéral 5P.131/2006 du 25 août 2006 consid. 3 s., publié in FamPra.ch 2007 p. 167). Le retrait de tout droit à des relations personnelles constitue l' ultima ratio et ne peut être ordonné, dans l'intérêt de l'enfant, que si les effets négatifs des relations personnelles ne peuvent être maintenus dans des limites supportables pour l'enfant (ATF 120 II 229 consid. 3b/aa; arrêts du Tribunal fédéral 5A_618/2017 du 2 février 2018 consid. 4.2; 5A_699/2017 du 24 octobre 2017 consid. 5.1; 5A_184/2017 du 9 juin 2017 consid. 4.1). Si, en revanche, le préjudice engendré pour l'enfant par les relations personnelles peut être limité par la mise en œuvre d'un droit de visite surveillé ou accompagné, le droit de la personnalité du parent non détenteur de l'autorité parentale, le principe de la proportionnalité, mais également le sens et le but des relations personnelles, interdisent la suppression complète du droit auxdites relations (ATF 122 III 404 consid. 3c; arrêts du Tribunal fédéral 5A_618/2017 du 2 février 2018 consid. 4.2; 5A_699/2017 du 24 octobre 2017 consid. 5.1; 5A_184/2017 du 9 juin 2017 consid. 4.1). L'une des modalités particulières à laquelle il est envisageable de subordonner l'exercice du droit aux relations personnelles, par une application conjointe des art. 273 al. 2 et 274 al. 2 CC, peut ainsi consister en l'organisation des visites, avec ou sans curatelle de surveillance, dans un lieu protégé spécifique, tel un Point Rencontre ou une autre institution analogue (arrêts du Tribunal fédéral 5A_618/2017 du 2 février 2018 consid. 4.2; 5A_699/2017 du 24 octobre 2017 consid. 5.1; 5A_184/2017 du 9 juin 2017 consid. 4.1). Le juge dispose d'un large pouvoir d'appréciation dans la fixation du droit de visite (art. 4 CC; ATF 120 II 229 consid. 4a; arrêt du Tribunal fédéral 5A_422/2015 du 10 février 2016 consid. 4.2 non publié aux ATF 142 III 193 ). 5.1.3 Le juge n'est pas lié par les conclusions du Service de protection des mineurs ou du SEASP. Le rapport de ces services (lequel constitue une preuve au sens des art. 168 et 190 CPC) est soumis, à l'instar des autres preuves, au principe de la libre appréciation consacré par l'art. 157 CPC (Hafner, Basler Kommentar, Schweizerische Zivilprozessordnung, n. 4 ad art. 190 CPC; Weibel/Naegeli, Kommentar zur Schweizerischen Zivilprozessordnung, n. 8 ad art. 190 CPC). Cependant, une portée particulière peut être conférée au rapport d'évaluation sociale, qui prend en compte toute une série d'éléments objectifs, basés sur les déclarations d'intervenants scolaires, médicaux ou sociaux; il contient également des appréciations subjectives, lesquelles dénotent souvent une grande expérience en la matière, mais ne sauraient remplacer le pouvoir de décision du juge ( ACJC/1311/2017 du 11 octobre 2017 consid. 3.1.2; ACJC/993/2017 du 10 août 2017 consid. 5.1; ACJC/372/2017 du 28 mars 2017 consid. 5.1).</w:t>
      </w:r>
    </w:p>
    <w:p>
      <w:r>
        <w:rPr>
          <w:b/>
        </w:rPr>
        <w:t>E. 5.2</w:t>
      </w:r>
    </w:p>
    <w:p>
      <w:r>
        <w:t>En l'espèce, il ressort clairement de la procédure que les enfants du couple ont été exposés à de multiples reprises à des violences physiques et psychologiques entre leurs parents, l'appelant ayant même menacé, devant les enfants, de s'en prendre à leur vie. Même si cette parole a dépassé la pensée de l'appelant, il n'en demeure pas moins que les enfants en ont été profondément affectés et qu'ils ont, depuis lors, peur de voir leur père. De même, si du temps de la vie commune, l'appelant a pu s'occuper des enfants de manière adéquate et qu'il n'a jamais exercé de violences à leur égard, ces derniers ont toutefois été soumis à une violence psychologique, et ils le sont encore, dès lors que l'appelant exerce une forme de pression sur eux lorsqu'il leur parle au téléphone en les questionnant sur les motifs de leur refus de le rencontrer. Cette violence psychologique a encore été relevée par le SPMi dans son rapport du mois de janvier 2023, même si l'appelant reste dans le déni à cet égard. Tant la pédiatre, que les auteurs du rapport du SEASP, se sont assurés de la liberté de parole des enfants. Il n'est ainsi pas rendu vraisemblable qu'ils aient été influencés par leur mère dans l'expression de leur crainte. L'appelant se prévaut du fait qu'il a vu les enfants, entre la séparation des parties et la fin juin 2022, sans que ceux-ci n'aient exprimé leur peur de le rencontrer. Il en veut pour preuve une photographie le représentant avec les enfants. Cette photographie est cependant insuffisante à cet égard, la peur exprimée par les enfants ayant été relevée par divers professionnels les entourant. L'intimée, qui n'avait visiblement jusqu'à lors pas conscience que les enfants craignaient leur père (ayant conclu dans un premier temps à ce qu'un droit de visite usuel lui soit accordé) a certes envoyé les enfants en visite chez leur père, sans que ceux-ci ne s'y opposent. De même, les enfants ont formulé à leur père au téléphone la réponse que celui-ci attendait, en disant qu'ils souhaitaient le voir mais en étaient empêchés par leur mère. Cependant, ce comportement des enfants peut aisément s'expliquer par la crainte qu'ils nourrissent à l'égard de leur père. Pour le surplus, les allégations de l'appelant s'agissant de l'incapacité de l'intimée à élever les enfants, qui au demeurant ne sont pas rendues vraisemblables, le SEASP ayant constaté que les enfants se portaient bien et que l'intimée en prenait soin, ne sont pas pertinentes s'agissant d'établir les modalités du droit de visite de l'appelant. Compte tenu de ce qui précède, c'est à juste titre que le premier juge a réservé à l'appelant un droit aux relations personnelles sur les enfants devant s'exercer, en l'état, à raison d'une heure trente par semaine dans le cadre de la prestation "Accueils" du Point Rencontre. Le chiffre 4 du dispositif du jugement querellé sera donc confirmé.</w:t>
      </w:r>
    </w:p>
    <w:p>
      <w:r>
        <w:rPr>
          <w:b/>
        </w:rPr>
        <w:t>E. 6</w:t>
      </w:r>
    </w:p>
    <w:p>
      <w:r>
        <w:t>L'appelant reproche au Tribunal d'avoir fixé une contribution à l'entretien des enfants trop importante eu égard à ses revenus et ses charges. 6.1.1 Conformément à l'art. 276a al. 1 CC, l'obligation d'entretien envers l'enfant mineur prime les autres obligations d'entretien du droit de la famille. 6.1.2 Selon l'art. 276 CC, l'entretien de l'enfant est assuré par les soins, l'éducation et des prestations pécuniaires, ces trois éléments étant considérés comme équivalents (ATF 147 III 265 consid. 5.5; arrêt du Tribunal fédéral 5A_117/2021 du 9 mars 2022 consid. 4.2). Aux termes de l'art. 276 al. 2 CC, les parents contribuent ensemble, chacun selon ses facultés, à l'entretien convenable de l'enfant et assument en particulier les frais de sa prise en charge, de son éducation, de sa formation et des mesures prises pour le protéger. Selon l'art. 285 al. 1 CC, la contribution d'entretien due à l'enfant doit correspondre aux besoins de celui-ci ainsi qu'à la situation et aux ressources des père et mère, compte tenu de la fortune et des revenus de l'enfant. 6.1.3 Selon la méthode de calcul uniforme des contributions d'entretien du droit de la famille fixée par le Tribunal fédéral (ATF 147 III 265 in SJ 2021 I 316; 147 III 293 et 147 III 301 ), soit la méthode du minimum vital avec répartition de l'excédent (dite en deux étapes), il convient, d'une part, de déterminer les moyens financiers à disposition, à savoir les revenus effectifs (revenus du travail, de la fortune et les prestations de prévoyance) ou hypothétiques et, d'autre part, de déterminer les besoins de la personne dont l'entretien est examiné (entretien convenable, qui n'est pas une valeur fixe, mais dépend des besoins concrets et des moyens à disposition). Les ressources à disposition sont ensuite réparties entre les différents membres de la famille, selon un certain ordre de priorité, de manière à couvrir le minimum vital du droit des poursuites, respectivement en cas de moyens suffisants, le minimum vital du droit de la famille (ATF 147 III 265 consid. 7). La fixation de la contribution d'entretien relève de l'appréciation du juge, qui jouit d'un large pouvoir d'appréciation et applique les règles du droit et de l'équité (art. 4 CC; ATF 140 III 337 consid. 4.2.2; 134 III 577 consid. 4; 128 III 411 consid. 3.2.2). Dans tous les cas, le minimum vital du droit des poursuites du débirentier doit être préservé (ATF 147 III 265 précité consid. 7.3; arrêt du Tribunal fédéral 5A_450/2020 du 4 janvier 2021 consid. 5.3). 6.1.4 Dans le calcul des besoins, le point de départ est le minimum vital du droit des poursuites, comprenant l'entretien de base selon les normes d'insaisissabilité (NI 2022, RS/GE E 3 60.04; l'entretien de base OP comprend, notamment, l'alimentation, les vêtements et le linge, ainsi que les soins corporels et de santé), auquel sont ajoutées les dépenses incompressibles, à savoir, pour l'enfant, les primes d'assurance-maladie obligatoire, les frais de formation, les frais médicaux non pris en charge par une assurance, une part des frais de logement du parent gardien et les frais de garde par des tiers (ATF 147 III 265 précité consid. 7.2). Dans la mesure où les moyens financiers le permettent, la contribution d'entretien doit être étendue au minimum vital du droit de la famille. Pour les parents, les postes suivants entrent généralement dans cette catégorie : les impôts, les forfaits de télécommunication, les assurances, les frais de formation continue indispensable, les frais de logement correspondant à la situation (plutôt que fondés sur le minimum d'existence), les frais d'exercice du droit de visite, un montant adapté pour l'amortissement des dettes, et, en cas de circonstances favorables, les primes d'assurance-maladie complémentaires, ainsi que les dépenses de prévoyance privée des travailleurs indépendants. Chez les enfants, il peut être tenu compte, notamment, d'une part d'impôts, de la participation aux frais de logement effectifs supérieurs aux frais raisonnables de logement et des primes d'assurance-maladie complémentaire. En revanche, les frais de loisirs, de voyages et de vacances ne font pas partie du minimum vital du droit de la famille et sont financés par un éventuel excédent de ressources de la famille après couverture du minimum vital de tous ses membres (ATF 147 III 265 consid. 7.2; arrêt du Tribunal fédéral 5A_583/2018 du 18 janvier 2019 consid. 5.1). Il convient de traiter sur un pied d'égalité tous les enfants crédirentiers d'un père ou d'une mère, y compris ceux issus de différentes unions, tant sur le plan de leurs besoins objectifs que sur le plan financier. Ainsi, des contributions d'entretien inégales ne sont pas exclues d'emblée, mais nécessitent une justification particulière. Les frais d'entretien des enfants nés d'une autre union du débirentier ne doivent pas être ajoutés au minimum vital de celui-ci. Le solde du débirentier, s'il existe, doit être partagé entre les enfants dans le respect du principe de l'égalité de traitement, en tenant compte de leurs besoins et de la capacité de gain de l'autre parent (ATF 137 III 59 consid. 4.2.1 et 4.2.2, in SJ 2011 I 221; 126 III 353 consid. 2b; arrêts du Tribunal fédéral 5A_679/2011 du 10 avril 2012 consid. 9; 5A_352/2010 du 29 octobre 2010 consid. 6.2.1). 6.1.5 Dans le cas de l’instauration d’une garde exclusive, en raison de l'équivalence de l'entretien en nature et en argent, le père ou la mère qui n’a pas la garde de l'enfant doit, en principe, assumer la totalité de l’entretien pécuniaire, sauf lorsque le parent exerçant la garde dispose de capacités financièrement manifestement plus importantes que l’autre parent (ATF 147 III 265 consid. 5.5; arrêts du Tribunal fédéral 5A_591/2021 du 12 décembre 2022 consid. 3.3.3 destiné à la publication; 5A_230/2022 du 21 septembre 2022 consid. 5.5; 5A_549/2019 du 18 mars 2021 consid. 3.4). 6.1.6 Si le débirentier prétend avoir déjà versé des prestations d'entretien au crédirentier depuis la séparation des époux, il est nécessaire que le juge du fond statue sur les montants qui doivent être déduits de l'arriéré, sur la base des allégués et des preuves offertes en procédure (ATF 138 III 585 consid. 6.1.1). Dans la mesure où il s'agit d'imputer sur les contributions dues les sommes déjà versées à ce titre, seules peuvent être déduites les charges qui ont été prises en compte dans la détermination de dites contributions, à l'exclusion des versements qui excèdent l'entretien défini dans ce cadre (arrêt du Tribunal fédéral 5A_601/2017 du 17 janvier 2018 consid. 10.3 et les arrêts cités).</w:t>
      </w:r>
    </w:p>
    <w:p>
      <w:r>
        <w:rPr>
          <w:b/>
        </w:rPr>
        <w:t>E. 6.2</w:t>
      </w:r>
    </w:p>
    <w:p>
      <w:r>
        <w:t>En l'espèce, il n'est pas contesté en appel que le revenu mensuel net de l'appelant s'élève à 6'200 fr. et que celui de l'intimée est de 3'700 fr. Compte tenu des ressources de la famille, seules les charges de ses membres selon le minimum vital strict doivent être prises en considération. En effet, les revenus cumulés des époux s'élèvent à 9'900 fr. par mois alors que leurs charges selon le minimum vital strict sont de plus de 10'000 fr. par mois (cf. infra). Par conséquent, les primes d'assurance-maladie complémentaires, le crédit souscrit par l'appelant auprès de K______, les forfaits de télécommunication et les acomptes d'impôts ne seront pas pris en considération. Par ailleurs, il n'y a pas lieu de tenir compte de l'aide financière apportée par l'appelant à ses parents, l'obligation d'entretien de l'appelant envers ses enfants mineurs primant les autres obligations d'entretien du droit de la famille. En outre, les contributions versées par l'appelant à ses enfants G______ et F______ ne doivent pas être inclus dans ses charges, mais pris en compte lors du partage du solde de l'appelant entre ses cinq enfants. Compte tenu de ce qui précède, les charges de l'appelant s'élèvent à 3'719 fr. par mois, comprenant le loyer (2'100 fr.), la prime d'assurance-maladie de base (349 fr.), les frais de transports publics (70 fr.) et l'entretien de base selon les normes OP (1'200 fr.). L'appelant n'a pas prouvé s'acquitter d'une prime d'assurance-maladie de base de 504 fr. par mois depuis le 1 er janvier 2023, étant relevé que le document produit, bien qu'intitulé "police d'assurance", s'apparente à une proposition de modification d'assurance, dont on ignore si elle a été finalement acceptée. Les charges des enfants, après retranchement des primes d'assurance-maladie complémentaire, s'élèvent à 3'170 fr. 50 (3'258 fr. 90 – 36 fr. 15 – 37 fr. 70 – 14 fr. 55). Même en faisant abstraction de leur participation au loyer maternel avant le 1 er août 2022, ceux-ci étant alors hébergés en foyer, leurs charges s'élevaient encore à 2'724 fr. 50 (3'170 fr. 50 – 446 fr.). Le solde mensuel de l'appelant s'élève ainsi à 2'481 fr. (6'200 fr. – 3'719 fr.), ce qui lui permet de s'acquitter de la contribution à l'entretien de ses enfants, telle que fixée par le Tribunal à 2'200 fr. par mois, soit environ 733 fr. par enfant. Le dies a quo de cette contribution ayant été fixé au 16 mai 2022, il y a lieu de tenir compte des montants assumés par l'appelant pour les charges prises en compte pour ses enfants durant cette période, soit leurs primes d'assurance-maladie de base, à l'exception de leurs primes d'assurance-maladie complémentaire non prises en considération dans leurs charges et des montants versés pour son épouse qui ne perçoit pas de contribution d'entretien. C'est ainsi une somme de 373 fr. 50 (3 mois x 2 x (122 fr. 25 – 60 fr.)), la prime d'assurance-maladie de base de E______ étant entièrement couverte par le subside cantonal, qui sera déduite. Une fois la contribution à l'entretien de ses enfants habitant en Suisse acquittée, il reste à l'appelant un solde de 281 fr. par mois. L'appelant a prouvé verser mensuellement une somme de 250'000 CFA, soit environ 370 fr. (selon le site http://www.fxtop.com, qui donne les taux officiels diffusés par la Banque centrale européenne ; ATF 138 III 628 consid. 5.5) à l'entretien de chacun de ses enfants au Togo par l'intermédiaire de son père. Toutefois, ce montant paraît excessif au regard des besoins de ces enfants compte tenu du coût de la vie au Togo. En effet, depuis le 1 er janvier 2023, le Salaire Minimum Interprofessionnel Garanti (SMIG) au Togo est de 52 500 FCFA (www.republiquetogolaise.com/gestion-publique/0101-7601-au-togo-le-smig-revalorise-a-52-500-fcfa-a-partir-de-ce-1er-janvier-2023), soit d'environ 78 fr. par mois (selon le site http://www.fxtop.com, qui donne les taux officiels diffusés par la Banque centrale européenne ; ATF 138 III 628 consid. 5.5), de sorte qu'une somme de 140 fr., par mois et par enfant, s'avère suffisant pour couvrir les besoins des enfants G______ et F______. Par conséquent, le chiffre 8 du dispositif du jugement sera confirmé.</w:t>
      </w:r>
    </w:p>
    <w:p>
      <w:r>
        <w:rPr>
          <w:b/>
        </w:rPr>
        <w:t>E. 7</w:t>
      </w:r>
    </w:p>
    <w:p>
      <w:r>
        <w:t>Les frais judicaires d'appel, arrêtés à 800 fr. (art. 31 et 37 RTFMC), seront mis à la charge de chaque partie par moitié, compte tenu de la nature familiale du litige (art. 107 al. 1 let c. CPC). Les deux parties plaidant au bénéfice de l'assistance juridique, ces frais seront provisoirement laissés à la charge de l'Etat de Genève, lequel pourra en réclamer le remboursement ultérieurement aux conditions de l'art. 123 CPC Chaque partie supportera ses propres dépens d'appel, vu la nature familiale du litige (art. 107 al. 1 let. c CPC). * * * * * PAR CES MOTIFS, La Chambre civile : A la forme : Déclare recevable l'appel interjeté le 16 février 2023 par A______ contre le jugement JTPI/1585/2023 rendu le 1 er février 2023 par le Tribunal de première instance dans la cause C/9364/2022. Au fond : Confirme ce jugement. Déboute les parties de toutes autres conclusions. Sur les frais : Arrête les frais judiciaires d'appel à 800 fr., les met à la charge de A______ à concurrence de 400 fr. et de B______ à concurrence de 400 fr. Dit que les frais judicaires seront provisoirement supportés par l'Etat de Genève. Dit que chaque partie supportera ses propres dépens d'appel. Siégeant : Madame Jocelyne DEVILLE-CHAVANNE, présidente; Madame Verena PEDRAZZINI RIZZI, Madame Nathalie LANDRY-BARTHE, juges; Madame Jessica ATHMOUNI, greffière.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dans les limites de l’art. 98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