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C/9364/2017 vom 19. November 2019</w:t>
      </w:r>
    </w:p>
    <w:p>
      <w:r>
        <w:t>GE Cour de justice, 2019-11-19, FR</w:t>
      </w:r>
    </w:p>
    <w:p>
      <w:r>
        <w:rPr>
          <w:b/>
        </w:rPr>
        <w:t xml:space="preserve">Quelle: </w:t>
      </w:r>
      <w:r>
        <w:t>https://mcp.opencaselaw.ch/entscheid/ge_gerichte_C_9364_2017</w:t>
      </w:r>
    </w:p>
    <w:p>
      <w:r>
        <w:t>FR: GE_GERICHTE C/9364/2017 du 19 novembre 2019</w:t>
      </w:r>
    </w:p>
    <w:p>
      <w:r>
        <w:t>IT: GE_GERICHTE C/9364/2017 del 19 novembre 2019</w:t>
      </w:r>
    </w:p>
    <w:p>
      <w:pPr>
        <w:pStyle w:val="Heading2"/>
      </w:pPr>
      <w:r>
        <w:t>Regeste</w:t>
      </w:r>
    </w:p>
    <w:p>
      <w:r>
        <w:t>CC.286.al2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w:t>
      </w:r>
    </w:p>
    <w:p>
      <w:r>
        <w:rPr>
          <w:b/>
        </w:rPr>
        <w:t>E. 1.2</w:t>
      </w:r>
    </w:p>
    <w:p>
      <w:r>
        <w:t>Déposé selon la forme et dans le délai prescrits (art. 130, 131, 142 al. 1 et 311 al. 1 CPC) par une partie qui y a intérêt (art. 59 al. 2 let. a CPC) et portant sur des conclusions patrimoniales qui, capitalisées selon l'art. 92 al. 2 CPC, sont supérieures à 10'000 fr., l'appel est recevable.</w:t>
      </w:r>
    </w:p>
    <w:p>
      <w:r>
        <w:rPr>
          <w:b/>
        </w:rPr>
        <w:t>E. 1.3</w:t>
      </w:r>
    </w:p>
    <w:p>
      <w:r>
        <w:t>S'agissant d'une action qui n'est pas liée à une procédure matrimoniale, la procédure simplifiée s'applique (art. 295 CPC). La Cour revoit la cause en fait et en droit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rPr>
          <w:b/>
        </w:rPr>
        <w:t>E. 2</w:t>
      </w:r>
    </w:p>
    <w:p>
      <w:r>
        <w:t>L'appelant reproche au Tribunal d'avoir mal apprécié sa situation financière. Il estime que les cotisations sociales dont il s'acquitte auraient dû être intégrées à ses charges. En outre, il reproche au premier juge de ne pas avoir pris en compte le fait qu'il doit assumer la part du minimum vital OP et du loyer de son épouse, qui ne perçoit aucun revenu.</w:t>
      </w:r>
    </w:p>
    <w:p>
      <w:r>
        <w:rPr>
          <w:b/>
        </w:rPr>
        <w:t>E. 2.1.1</w:t>
      </w:r>
    </w:p>
    <w:p>
      <w:r>
        <w:t>La modification ou la suppression de la contribution due à l'entretien d'un enfant mineur est régie par l'art. 286 al. 2 CC, dont la teneur n'a pas été modifiée par la réforme du droit de l'entretien de l'enfant entrée en vigueur le 1 er janvier 2017.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 La naissance de nouveaux enfants du débirentier constitue un fait nouveau au sens de l'art. 286 al. 2 CC qui, sauf situation financière favorable, entraîne un déséquilibre entre les parents justifiant de fixer à nouveau la contribution d'entretien (ATF 137 III 604 consid. 4.2).</w:t>
      </w:r>
    </w:p>
    <w:p>
      <w:r>
        <w:rPr>
          <w:b/>
        </w:rPr>
        <w:t>E. 2.1.2</w:t>
      </w:r>
    </w:p>
    <w:p>
      <w:r>
        <w:t>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et les références citées), en faisant usage de son pouvoir d'appréciation (art. 4 CC; arrêt du Tribunal fédéral 5A_672/2017 du 20 avril 2018 consid. 3.1).</w:t>
      </w:r>
    </w:p>
    <w:p>
      <w:r>
        <w:rPr>
          <w:b/>
        </w:rPr>
        <w:t>E. 2.1.3</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Il revient toujours au juge d'examiner si, dans le cas d'espèce, le versement d'une contribution de prise en charge se justifie et à combien elle doit se monter (Message du Conseil fédéral du 29 novembre 2013 concernant la révision du code civil suisse (Entretien de l'enfant), FF 2014, p. 557).</w:t>
      </w:r>
    </w:p>
    <w:p>
      <w:r>
        <w:rPr>
          <w:b/>
        </w:rPr>
        <w:t>E. 2.1.4</w:t>
      </w:r>
    </w:p>
    <w:p>
      <w:r>
        <w:t>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 p. 3; Stoudmann, op. cit. , p. 429).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w:t>
      </w:r>
    </w:p>
    <w:p>
      <w:r>
        <w:rPr>
          <w:b/>
        </w:rPr>
        <w:t>E. 2.1.5</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Les charges d'un enfant, tout comme celles de ses parents, comprennent le montant de base du droit des poursuites (art. 93 LP), établi à Genève selon les normes d'insaisissabilité édictées par l'autorité de surveillance (NI-2018 et NI-2019, RSGE - E 3 60.04), élargi des dépenses incompressibles, tels que la participation aux frais du logement, la prime d'assurance-maladie de base,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w:t>
      </w:r>
    </w:p>
    <w:p>
      <w:r>
        <w:rPr>
          <w:b/>
        </w:rPr>
        <w:t>E. 2.1.6</w:t>
      </w:r>
    </w:p>
    <w:p>
      <w:r>
        <w:t>Si le débirentier vit en concubinage, il convient de ne prendre en compte, dans le calcul de son minimum vital, que la moitié du montant mensuel de base prévu pour le couple (ATF 137 III 59 consid. 4.2 et 4.3; 130 III 767 consid. 2.4). Il n'est pas pertinent de savoir si l'épouse ou la compagne travaille ou si elle participe effectivement aux charges du ménage ou non. Afin de ne pas privilégier cette dernière, seule la moitié du montant de base, à savoir 850 fr. de 1'700 fr., doit être prise en compte pour le calcul. Ce principe établi dans la jurisprudence vaut désormais de manière accrue compte tenu de la hiérarchisation claire prévue à l'art. 276a al. 1 CC qui dispose que l'obligation d'entretien envers un enfant mineur prime les autres obligations d'entretien du droit de la famille (arrêts du Tribunal fédéral 5A_553/2018 et 5A_554/2018 du 2 octobre 2018 consid. 6.7 et 5A_855/2017 du 11 avril 2018 consid. 3.1, lesquels renvoient à la jurisprudence toujours applicable rendue sous l'ancien droit : ATF 137 III 59 consid. 4.2.2). Sur le modèle des lignes directrices du droit des poursuites, l'on retient également une participation du concubin jusqu'à la moitié des charges communes, même si la participation effective est inférieure (ATF 138 III 97 consid. 2.3.2, in JdT 2012 II 479 et les réf. citées). Seules les charges effectives, dont le débirentier s'acquitte réellement, doivent être prises en compte (ATF 140 III 337 consid. 4.2.3; 121 III 20 consid. 3a; arrêt du Tribunal fédéral 5A_565/2016 du 16 février 2017 consid 4.2.2).</w:t>
      </w:r>
    </w:p>
    <w:p>
      <w:r>
        <w:rPr>
          <w:b/>
        </w:rPr>
        <w:t>E. 2.1.7</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FamPra.ch 2011 p. 230).</w:t>
      </w:r>
    </w:p>
    <w:p>
      <w:r>
        <w:rPr>
          <w:b/>
        </w:rPr>
        <w:t>E. 2.2</w:t>
      </w:r>
    </w:p>
    <w:p>
      <w:r>
        <w:t>En l'espèce, la diminution des revenus de l'appelant, tout comme la naissance de son fils I______, constituent des faits nouveaux et durables. C'est ainsi à bon droit que le Tribunal est entré en matière sur la demande de modification de la contribution d'entretien due à l'intimé, ce que les parties ne remettent pas en cause. S'agissant de la question de savoir si la contribution d'entretien en faveur de l'intimé crée une charge déséquilibrée pour l'appelant compte tenu de la nouvelle situation financière et personnelle de celui-ci, il est établi que tel est le cas, ce que les parties ne contestent plus en appel. Reste ainsi à déterminer si le premier juge a mal apprécié la situation financière de l'appelant et, si tel est le cas, si la réduction de la contribution d'entretien en faveur de C______ devait être plus conséquente.</w:t>
      </w:r>
    </w:p>
    <w:p>
      <w:r>
        <w:rPr>
          <w:b/>
        </w:rPr>
        <w:t>E. 2.2.1</w:t>
      </w:r>
    </w:p>
    <w:p>
      <w:r>
        <w:t>Tout d'abord, contrairement à ce que soutient l'appelant, la part du minimum vital pour couple et du loyer incombant à son épouse ne peut être incluse dans son budget. En effet, l'épouse de l'appelant, jeune femme adulte en bonne santé, est en mesure de contribuer financièrement à son propre entretien, ce que les enfants de l'appelant ne peuvent pas faire pour l'instant. Elle a ainsi fait le choix, avec l'appelant, de ne pas travailler et ce dernier ne peut pas privilégier de la sorte son épouse au détriment de ses autres enfants ( i.e. l'intimé et F______). C'est ainsi à bon droit que le Tribunal n'a pris en compte dans les charges de l'appelant que la moitié du minimum vital OP pour couple (soit 850 fr.) et de son loyer (1'062 fr.). S'agissant des cotisations sociales, les fiches de salaire 2018 n'indiquent pas que celles-ci seraient prélevées chaque mois sur le salaire de l'appelant par son employeur. L'appelant ne soutient pas non plus que la déduction de 300 fr. de " loss of licence policy " correspondrait à des cotisations sociales. Il ne démontre pas non plus s'acquitter directement de ces cotisations comme s'il était toujours indépendant. En outre, le montant annuel de 7'085 fr. de cotisations sociales ressortant de la déclaration fiscale 2017 ne saurait être pris en considération puisque, cette année-là, l'appelant exerçait à titre indépendant, ce qui n'est plus le cas depuis l'été 2018. Par conséquent, faute d'avoir démontré que les cotisations sociales constituaient une charge effective pour l'appelant, c'est à juste titre que le Tribunal ne les a pas prises en compte. Les charges de l'appelant arrêtées à 2'350 fr. par le premier juge seront ainsi confirmées et comprennent encore 367 fr. 90 de prime d'assurance maladie et 70 fr. de frais de transports publics.</w:t>
      </w:r>
    </w:p>
    <w:p>
      <w:r>
        <w:rPr>
          <w:b/>
        </w:rPr>
        <w:t>E. 2.2.2</w:t>
      </w:r>
    </w:p>
    <w:p>
      <w:r>
        <w:t>Les revenus de l'appelant et de la mère de l'intimé ainsi que les charges de l'intimé et de sa mère n'ont pas été remis en cause et correspondent aux pièces produites. De même, l'appelant ne conteste pas, à juste titre, le fait que l'intégralité des frais de l'intimé ait été mise à sa charge, vu que lui-même n'exerce qu'un droit de visite sur son fils. Il est enfin constant que la mère de l'intimé ne peut prétendre à une contribution de prise en charge puisqu'elle couvre ses frais de subsistance par ses propres moyens.</w:t>
      </w:r>
    </w:p>
    <w:p>
      <w:r>
        <w:rPr>
          <w:b/>
        </w:rPr>
        <w:t>E. 2.2.3</w:t>
      </w:r>
    </w:p>
    <w:p>
      <w:r>
        <w:t>Par conséquent, la réduction de la contribution d'entretien en faveur de l'intimé à 1'200 fr. sera confirmée. Elle permet en effet de tenir compte tant de la nouvelle situation personnelle et financière de l'appelant que des besoins réactualisés de l'intimé, arrêtés à 1'162 fr., allocations familiales déduites. En prenant en compte le revenu net de l'appelant de 7'500 fr., après couverture de ses propres charges arrêtées à 2'350 fr., il dispose d'un solde disponible de 5'150 fr., soit un montant suffisant pour couvrir la contribution d'entretien en faveur de son fils C______ de 1'200 fr., la contribution d'entretien en faveur de F______ d'un montant de 1'500 fr. et l'entretien courant de I______, estimé à hauteur de 730 fr. Il bénéficie encore d'un solde disponible de 1'720 fr. pour subvenir en partie aux frais de son épouse, estimés à 2'350 fr., étant rappelé que l'entretien dus aux enfants mineurs prime sur l'entretien dû entre époux.</w:t>
      </w:r>
    </w:p>
    <w:p>
      <w:r>
        <w:rPr>
          <w:b/>
        </w:rPr>
        <w:t>E. 2.3</w:t>
      </w:r>
    </w:p>
    <w:p>
      <w:r>
        <w:t>Le Tribunal a supprimé l'office la clause d'indexation prévue dans le jugement de 2009 dès lors que les revenus de l'appelant ne semblaient pas être amenés à évoluer, ce que les parties ne contestent pas, de sorte que cette suppression sera confirmée.</w:t>
      </w:r>
    </w:p>
    <w:p>
      <w:r>
        <w:rPr>
          <w:b/>
        </w:rPr>
        <w:t>E. 2.4</w:t>
      </w:r>
    </w:p>
    <w:p>
      <w:r>
        <w:t>Le chiffre 1 du jugement entrepris sera toutefois réformé en ce sens qu'il n'y a pas lieu de limiter à l'âge de 25 ans la contribution d'entretien due à l'intimé, une telle limitation n'existant pas en droit civil.</w:t>
      </w:r>
    </w:p>
    <w:p>
      <w:r>
        <w:rPr>
          <w:b/>
        </w:rPr>
        <w:t>E. 3</w:t>
      </w:r>
    </w:p>
    <w:p>
      <w:r>
        <w:t>Reste encore à examiner le dies a quo de la modification de la contribution d'entretien.</w:t>
      </w:r>
    </w:p>
    <w:p>
      <w:r>
        <w:rPr>
          <w:b/>
        </w:rPr>
        <w:t>E. 3.1.1</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 du Tribunal fédéral 5A_651/2014 du 27 janvier 2015 consid. 4.1.2).</w:t>
      </w:r>
    </w:p>
    <w:p>
      <w:r>
        <w:rPr>
          <w:b/>
        </w:rPr>
        <w:t>E. 3.2</w:t>
      </w:r>
    </w:p>
    <w:p>
      <w:r>
        <w:t>En l'espèce, l'appelant soutient que la modification de la contribution d'entretien devrait entrer en vigueur avec effet rétroactif au jour du dépôt de sa demande, soit le 24 avril 2017, et non le 1 er mars 2018 comme retenu par le Tribunal. Certains changements dans la situation personnelle et financière de l'appelant étaient déjà intervenus au moment du dépôt de sa demande par rapport à la situation retenue dans le jugement du 30 avril 2009. En effet, le 24 avril 2017, l'appelant était déjà marié, son épouse ne travaillait pas et était enceinte et les revenus de l'appelant avaient diminués. Partant, conformément à la jurisprudence, il peut être retenue que l'intimé devait s'attendre à un risque de réduction de sa contribution d'entretien dès l'ouverture de l'action. Il se justifie donc de fixer le dies a quo au mois suivant le dépôt de la demande de modification de la contribution d'entretien, soit au 1 er mai 2017, étant précisé que l'intimé n'aura pas à restituer les avances des contributions d'entretien versées par le SCARPA puisque celles-ci sont inférieures au montant retenu dans le présent arrêt. Par conséquent, le chiffre 1 du dispositif du jugement entrepris sera réformé en conséquence.</w:t>
      </w:r>
    </w:p>
    <w:p>
      <w:r>
        <w:rPr>
          <w:b/>
        </w:rPr>
        <w:t>E. 4.1</w:t>
      </w:r>
    </w:p>
    <w:p>
      <w:r>
        <w:t>Si l'instance d'appel statue à nouveau, elle se prononce sur les frais de la première instance (art. 318 al. 3 CPC). Les frais sont mis à la charge de la partie succombante (art. 106 al. 1 CPC). Lorsqu'aucune des parties n'obtient entièrement gain de cause, les frais sont répartis selon le sort de la cause (art. 106 al. 2 CPC). Le Tribunal peut toutefois s'écarter des règles générales et répartir les frais selon sa libre appréciation, en particulier lorsque le litige relève du droit de la famille (art. 107 al. 1 let. c CPC). En l'espèce, les frais de première instance et leur répartition, conformes aux normes précitées et non contestés, seront confirmés.</w:t>
      </w:r>
    </w:p>
    <w:p>
      <w:r>
        <w:rPr>
          <w:b/>
        </w:rPr>
        <w:t>E. 4.2</w:t>
      </w:r>
    </w:p>
    <w:p>
      <w:r>
        <w:t>Les frais judiciaires d'appel seront fixés à 1'000 fr. (art. 32 et 35 RTFMC; art. 95 al. 2 et 105 al. 2 CPC) et mis à la charge de chacune des parties par moitié dans la mesure où aucune des parties n'obtient entièrement gain de cause et qu'il s'agit d'un litige relevant du droit de la famille (art. 107 al. 1 let. c CPC). La part de l'appelant sera compensée avec l'avance de frais fournie, qui reste acquise à l'Etat de Genève (art. 111 al. 1 CPC). Dès lors que l'intimé plaide au bénéfice de l'assistance juridique, sa part sera provisoirement supportée par l'Etat de Genève, lequel pourra en réclamer le remboursement ultérieurement (art. 122 al. 1 let. b et 123 CPC; art. 19 RAJ). Les Services financiers du Pouvoir judiciaire seront invités à restituer à l'appelant son avance de frais à hauteur de 500 fr. Compte tenu de la nature du litige, chaque partie supportera ses propres dépens d'appel (art. 107 al. 1 let. c CPC). * * * * * PAR CES MOTIFS, La Chambre civile : A la forme : Déclare recevable l'appel interjeté le 14 mars 2019 par A______ contre le jugement JTPI/2515/2019 rendu le 14 février 2019 par le Tribunal de première instance dans la cause C/9364/2017-15. Au fond : Annule le chiffre 1 du dispositif du jugement entrepris. Cela fait et statuant à nouveau sur ce point : Modifie le chiffre 1 du jugement JTPI/5177/2009 rendu le 30 avril 2009 par le Tribunal de première instance comme suit : Condamne A______ à payer, à compter du 1 er mai 2017, par mois et d'avance, allocations familiales non comprises, en mains de D______, la somme de 1'200 fr. à titre de contribution à l'entretien de C______, jusqu'à la majorité, voire au-delà en cas d'études ou de formation sérieuses et régulières. Annule le chiffre 2 du jugement JTPI/5177/2009 rendu le 30 avril 2009 par le Tribunal de première instance. Confirme le jugement entrepris pour le surplus. Déboute les parties de toutes autres conclusions. Sur les frais d'appel : Arrête les frais judiciaires d'appel à 1'000 fr., les met à la charge des parties à raison d'une moitié chacune. Compense la part de A______ de 500 fr. avec l'avance fournie, qui demeure acquise à l'Etat de Genève. Dit que la part de C______ de 500 fr. sera provisoirement supportée par l'Etat de Genève, compte tenu du bénéfice de l'assistance juridique. Invite les Services financiers du Pouvoir judiciaire à restituer à A______ le montant de 500 fr.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