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C/9302/2012 vom 12. Juni 2013</w:t>
      </w:r>
    </w:p>
    <w:p>
      <w:r>
        <w:t>GE Cour de justice, 2013-06-12, FR</w:t>
      </w:r>
    </w:p>
    <w:p>
      <w:r>
        <w:rPr>
          <w:b/>
        </w:rPr>
        <w:t xml:space="preserve">Quelle: </w:t>
      </w:r>
      <w:r>
        <w:t>https://mcp.opencaselaw.ch/entscheid/ge_gerichte_C_9302_2012</w:t>
      </w:r>
    </w:p>
    <w:p>
      <w:r>
        <w:t>FR: GE_GERICHTE C/9302/2012 du 12 juin 2013</w:t>
      </w:r>
    </w:p>
    <w:p>
      <w:r>
        <w:t>IT: GE_GERICHTE C/9302/2012 del 12 giugno 2013</w:t>
      </w:r>
    </w:p>
    <w:p>
      <w:pPr>
        <w:pStyle w:val="Heading2"/>
      </w:pPr>
      <w:r>
        <w:t>Regeste</w:t>
      </w:r>
    </w:p>
    <w:p>
      <w:r>
        <w:t>BAIL À LOYER; LOYER; GESTION DE SINISTRES; COMPENSATION DE CRÉANCES; FARDEAU DE LA PREUVE; DOMMAGE | Cst.29.2; CPC.150.1; CPC.152.1; CO.259e</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appelants concluent à l’annulation d’un jugement du Tribunal les ayant condamnés à payer la somme de 41'280 fr. 60, avec intérêts à 5% dès le 1 er septembre 2012, à l'intimée, de sorte que la valeur litigieuse excède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 jugement du Tribunal des baux et loyers ayant été reçu par les parties le 20 juin 2013, le délai de recours de trente jours est venu à échéance le 20 août 2013, celui-ci ayant été suspendu du 15 juillet au 15 août inclus (art. 145 CPC). L'acte d'appel ayant été déposé le 16 août 2013 au greffe de la Cour de céans, il a été interjeté dans le délai et suivant la forme prescrite par la loi (art. 130, 131, 311 al. 1 CPC). Il est ainsi recevable.</w:t>
      </w:r>
    </w:p>
    <w:p>
      <w:r>
        <w:rPr>
          <w:b/>
        </w:rPr>
        <w:t>E. 1.3</w:t>
      </w:r>
    </w:p>
    <w:p>
      <w:r>
        <w:t>La Cour revoit la cause avec un plein pouvoir d'examen (art. 310 CPC; HOHL, Procédure civile, tome II, Berne, 2010, n os 2314 et 2416; RETORNAZ, op. cit., p. 349 ss, n° 121).</w:t>
      </w:r>
    </w:p>
    <w:p>
      <w:r>
        <w:rPr>
          <w:b/>
        </w:rPr>
        <w:t>E. 2</w:t>
      </w:r>
    </w:p>
    <w:p>
      <w:r>
        <w:t>Les appelants font grief au Tribunal d'avoir violé leur droit d'être entendus en ne respectant pas les règles relatives à l'administration des preuves et en n'ayant pas correctement motivé le jugement. Le Tribunal a écarté les conclusions des appelants tendant à l'audition d'un témoin, soit E______. Les appelants y voient une violation des dispositions sur l'administration des preuves.</w:t>
      </w:r>
    </w:p>
    <w:p>
      <w:r>
        <w:rPr>
          <w:b/>
        </w:rPr>
        <w:t>E. 2.1</w:t>
      </w:r>
    </w:p>
    <w:p>
      <w:r>
        <w:t>Le droit d'être entendu, tel qu'il est garanti à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4P_201/2006 du 10 décembre 2006 consid. 3; ACJC/59/2012 du 16 janvier 2012 consid. 6). L'autorité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 ACJC/966/2012 ). A teneur des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 dans le fait qu'une preuve ne doit être administrée que si le juge n'est pas fondé à penser qu'elle est inutile, par exemple parce qu'il est convaincu de l'existence ou de l'inexistence du fait approuvé (…). Un tel refus repose sur une appréciation anticipée des preuves, qui est permise par la jurisprudence dans certaines limites (…) et se rattache au thème plus général de la libre appréciation (SCHWEIZER, Code de procédure civil commenté, n. 8 à 10 ad. art. 152 CPC).</w:t>
      </w:r>
    </w:p>
    <w:p>
      <w:r>
        <w:rPr>
          <w:b/>
        </w:rPr>
        <w:t>E. 2.2</w:t>
      </w:r>
    </w:p>
    <w:p>
      <w:r>
        <w:t>En l'espèce, c'est à bon droit que le Tribunal a considéré que les offres de preuve formées par les appelants n'étaient pas adéquates, soit que les moyens de preuve proposés visaient soit à établir des faits non pertinents pour l'issue du litige, soit qu'ils n'étaient pas aptes à établir les faits pertinents. En effet, les témoins inscrits sur la liste de l'intimée ne pouvaient que confirmer les pièces produites dans la procédure. Quant à l'audition de E______, sollicitée par les appelants, elle ne pouvait pas être à même d'éclairer le litige différemment en faveur des appelants. En effet, comme l'a constaté le Tribunal dans le jugement entrepris, cette personne n'a fait que constater le prétendu dommage une année après qu'à survenance de l'inondation. Dès lors, son témoignage était superflu et dénué de pertinence. L'appréciation anticipée des preuves faite par le Tribunal ne constitue ainsi pas une violation du droit d'être entendu des appelants. Ce premier grief sera ainsi rejeté.</w:t>
      </w:r>
    </w:p>
    <w:p>
      <w:r>
        <w:rPr>
          <w:b/>
        </w:rPr>
        <w:t>E. 2.3</w:t>
      </w:r>
    </w:p>
    <w:p>
      <w:r>
        <w:t>Les appelants invoquent en second lieu la violation, par les premiers juges, de l'obligation de motivation du jugement. Contrevenant au droit d'être entendu, une motivation insuffisante constitue une violation du droit, que la juridiction supérieure peut librement examiner aussi bien en appel que dans un recours stricto sensu selon les art. 319 et ss CPC ou dans le cadre d'un recours en matière civile devant le Tribunal fédéral. Sous couleur de se plaindre d'une motivation insuffisante, il n’est cependant pas possible de critiquer les faits retenus sur la base d'une appréciation des preuves, comme ont parfois tendance à le vouloir les appelants. Par ailleurs,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(JT 2006 III 6 ; JT 2009 III 3 ; TAPPY, Code de procédure civile commenté, Bâle, 2011, n. 18 ad art. 239 CPC). La motivation en droit doit par ailleurs aussi répondre à l'argumentation des parties. Elle peut cependant se concentrer sur l'essentiel et il n'est pas nécessaire d'entrer dans tous les détails (ATF 101 Ia 46 ; 112 Ia 107 , JdT 1986 IV 149), le juge pouvant parfois se borner à discuter seulement les arguments qui lui paraissent pertinents (SJ 1995 84; TAPPY, op. cit., n. 17 ad art. 239 CPC).</w:t>
      </w:r>
    </w:p>
    <w:p>
      <w:r>
        <w:rPr>
          <w:b/>
        </w:rPr>
        <w:t>E. 2.4</w:t>
      </w:r>
    </w:p>
    <w:p>
      <w:r>
        <w:t>En l'espèce, force est de constater que l'argumentation du Tribunal est complète et détaillée, la motivation s'étendant, en ce qui concerne l'examen des conditions de réalisation des art. 259a et 259e CO, sur plus de trois pages. L'analyse du Tribunal expose très clairement en quoi les appelants n'ont pas été en mesure de démontrer qu'ils avaient subi un dommage supérieur au montant de l'indemnisation qui leur a été versée par leur assurance-ménage à l'occasion de l'inondation de leur cave. Ce grief se révèle en conséquence infondé.</w:t>
      </w:r>
    </w:p>
    <w:p>
      <w:r>
        <w:rPr>
          <w:b/>
        </w:rPr>
        <w:t>E. 3</w:t>
      </w:r>
    </w:p>
    <w:p>
      <w:r>
        <w:t>Les appelants reprochent aux premiers juges d'avoir violé les dispositions du Code des obligations relatives à la responsabilité du bailleur en raison du défaut de la chose louée. Ils leur reprochent de n'avoir pas exigé de l'intimée de prouver qu'aucune faute ne lui était imputable dans la survenance du dommage. Ils se fondent pour se faire sur la teneur de l'art. 259e CO selon lequel si, en raison du défaut, le locataire a subi un dommage, le bailleur lui doit des dommages et intérêts s'il ne prouve qu'aucune faute ne lui est imputable. Les appelants perdent de vue le fait que cette disposition, qui aurait fondé l'obligation du Tribunal de requérir de l'intimée qu'elle prouve qu'aucune faute ne lui était imputable, implique qu'au préalable, l'existence d'un dommage ait été démontrée. Or, le Tribunal a précisément considéré, à bon droit, que l'existence d'un dommage excédant le montant de l'indemnité que leur avait versée l'assurance-ménage n'était pas démontrée. Le Tribunal n'avait ainsi pas à demander au bailleur d'apporter la preuve libératoire de l’absence de faute, l'une des conditions prévues à l'art. 259e CO faisant défaut.</w:t>
      </w:r>
    </w:p>
    <w:p>
      <w:r>
        <w:rPr>
          <w:b/>
        </w:rPr>
        <w:t>E. 4</w:t>
      </w:r>
    </w:p>
    <w:p>
      <w:r>
        <w:t>Enfin, les appelants, de façon peu cohérente, cherchent à démontrer qu'ils ont valablement compensé leur dette de loyers avec leur créance en dommages et intérêts contre l'intimée. Si cette question pouvait présenter un intérêt dans le cadre de la procédure, définitivement tranchée, qui a porté sur la validité du congé pour défaut de paiement du loyer, il en va différemment en l'espèce. En effet, ce n'est pas tant la validité de la déclaration de compensation qui est ici en cause, mais bien l'existence même d'une créance compensante. Or, il a été jugé que les appelants ne sont pas en droit de réclamer des dommages et intérêts au bailleur à la suite des dégâts occasionnés à leurs biens, lors de l'inondation de leur cave en juillet 2010, aucun dommage n'ayant été établi (cf. consid. 3 supra). Dès lors, cet argument tombe à faux. L'appel est ainsi intégralement infondé.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16 août 2013 par A______ et B______ contre le jugement JTBL/645/2013 rendu le 12 juin 2013 par le Tribunal des baux et loyers dans la cause C/9302/2012-2-OSD. Au fond : Confirme ce jugement.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