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C/9216/2017 vom 27. März 2018</w:t>
      </w:r>
    </w:p>
    <w:p>
      <w:r>
        <w:t>GE Cour de justice, 2018-03-27, FR</w:t>
      </w:r>
    </w:p>
    <w:p>
      <w:r>
        <w:rPr>
          <w:b/>
        </w:rPr>
        <w:t xml:space="preserve">Quelle: </w:t>
      </w:r>
      <w:r>
        <w:t>https://mcp.opencaselaw.ch/entscheid/ge_gerichte_C_9216_2017</w:t>
      </w:r>
    </w:p>
    <w:p>
      <w:r>
        <w:t>FR: GE_GERICHTE C/9216/2017 du 27 mars 2018</w:t>
      </w:r>
    </w:p>
    <w:p>
      <w:r>
        <w:t>IT: GE_GERICHTE C/9216/2017 del 27 marzo 2018</w:t>
      </w:r>
    </w:p>
    <w:p>
      <w:pPr>
        <w:pStyle w:val="Heading2"/>
      </w:pPr>
      <w:r>
        <w:t>Regeste</w:t>
      </w:r>
    </w:p>
    <w:p>
      <w:r>
        <w:t>EFFET SUSPENSIF ; DOMMAGE IRRÉPARABLE | CPC.325; CPC.319b.al2</w:t>
      </w:r>
    </w:p>
    <w:p>
      <w:pPr>
        <w:pStyle w:val="Heading2"/>
      </w:pPr>
      <w:r>
        <w:t>Volltext</w:t>
      </w:r>
    </w:p>
    <w:p>
      <w:r>
        <w:t>Genève Cour de Justice (Cour civile) Chambre des baux et loyers 25.04.2018 C/9216/2017</w:t>
      </w:r>
    </w:p>
    <w:p>
      <w:r>
        <w:t>EFFET SUSPENSIF ; DOMMAGE IRRÉPARABLE | CPC.325; CPC.319b.al2</w:t>
      </w:r>
    </w:p>
    <w:p>
      <w:r>
        <w:t>C/9216/2017 ACJC/516/2018 du 25.04.2018 ( SBL ) Descripteurs : EFFET SUSPENSIF ; DOMMAGE IRRÉPARABLE Normes : CPC.325; CPC.319b.al2 Par ces motifs RÉPUBLIQUE ET CANTON DE GENÈVE POUVOIR JUDICIAIRE C/9216/2017 ACJC/516/2018 ARRÊT DE LA COUR DE JUSTICE Chambre des baux et loyers du MERCREDI 25 AVRIL 2018 Entre Monsieur A______ et Monsieur B______ , domiciliés ______ Genève, recourants contre une ordonnance rendue par le Tribunal des baux et loyers le 27 mars 2018, tous deux représentés par l'ASLOCA, rue du Lac 12, case postale 6150, 1211 Genève 6, en les bureaux de laquelle ils font élection de domicile, et Madame C______ , domiciliée ______ Malte, intimée, comparant par Me Dante CANONICA, avocat, rue Pierre-Fatio 15, case postale 3782, 1211 Genève 3, en l'étude duquel elle fait élection de domicile. Vu, en fait , la procédure C/9216/2017, pendante devant le Tribunal des baux et loyers, en contestation du loyer initial; Vu l'ordonnance du 27 mars 2018 rendue par le Tribunal des baux et loyers, expédiée pour notification aux parties le même jour, fixant aux parties un délai au 7 mai 2018 pour produire toutes pièces utiles à un contrôle du loyer selon la méthode absolue et ordonnant la convocation des parties, à une date à fixer; Vu le recours formé par les locataires contre cette décision, sollicitant l'annulation de la décision déférée et le renvoi de la cause en première instance; Vu la requête tendant à la suspension de l'effet exécutoire attaché à l'ordonnance querellée dont le recours est assorti, les locataires faisant en substance valoir subir un préjudice difficilement réparable s'ils devaient fournir des exemples comparatifs de loyer, dès lors qu'ils devraient dans cette hypothèse interpeller les régies de la place et, en cas d'absence de collaboration de celles-ci, sélectionner des appartements de comparaison et requérir du Tribunal des inspections locales; Attendu que, la bailleresse a conclu, par déterminations du 23 avril 2018, au rejet de la demande d'effet suspensif; Considérant, en droit ,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 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2011, n. 9 ad art. 126 CPC); Considérant qu'en l'espèce, l'existence d'un préjudice difficilement réparable est prima facie douteuse; Qu'en effet, les recourants se prévalent des recherches d'exemples comparatifs qu'ils devront mener et d'éventuelles mesures d'instruction qu'ils pourront devoir requérir du Tribunal, à titre de préjudice difficilement réparable; qu'à teneur de la doctrine susmentionnée, il apparaît, selon toute vraisemblance, que les motifs invoqués ne constituent pas un tel préjudice; Qu'en tout état de cause les recourants pourront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Qu'ainsi, a priori, au vu des faibles chances de succès du recours, il se justifie dès lors de rejeter la requête de suspension de l'effet exécutoire attaché à la décision attaquée. * * * * * PAR CES MOTIFS, La Présidente de la Chambre des baux et loyers : Statuant sur la suspension de l'effet exécutoire : Rejette la requête tendant à la suspension de l'effet exécutoire attaché à l'ordonnance rendue le 27 mars 2018 par le Tribunal des baux et loyers dans la cause C/9216/2017-4-VEH-OSL.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