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C/8821/2014 vom 19. Februar 2015</w:t>
      </w:r>
    </w:p>
    <w:p>
      <w:r>
        <w:t>GE Cour de justice, 2015-02-19, FR</w:t>
      </w:r>
    </w:p>
    <w:p>
      <w:r>
        <w:rPr>
          <w:b/>
        </w:rPr>
        <w:t xml:space="preserve">Quelle: </w:t>
      </w:r>
      <w:r>
        <w:t>https://mcp.opencaselaw.ch/entscheid/ge_gerichte_C_8821_2014</w:t>
      </w:r>
    </w:p>
    <w:p>
      <w:r>
        <w:t>FR: GE_GERICHTE C/8821/2014 du 19 février 2015</w:t>
      </w:r>
    </w:p>
    <w:p>
      <w:r>
        <w:t>IT: GE_GERICHTE C/8821/2014 del 19 febbraio 2015</w:t>
      </w:r>
    </w:p>
    <w:p>
      <w:pPr>
        <w:pStyle w:val="Heading2"/>
      </w:pPr>
      <w:r>
        <w:t>Regeste</w:t>
      </w:r>
    </w:p>
    <w:p>
      <w:r>
        <w:t>PROTECTION DE L'UNION CONJUGALE; EFFET SUSPENSIF | CPC.315</w:t>
      </w:r>
    </w:p>
    <w:p>
      <w:pPr>
        <w:pStyle w:val="Heading2"/>
      </w:pPr>
      <w:r>
        <w:t>Volltext</w:t>
      </w:r>
    </w:p>
    <w:p>
      <w:r>
        <w:t>Genf Cour de Justice (Cour civile) Chambre civile 19.02.2015 C/8821/2014 Genève Cour de Justice (Cour civile) Chambre civile 19.02.2015 C/8821/2014 Ginevra Cour de Justice (Cour civile) Chambre civile 19.02.2015 C/8821/2014</w:t>
      </w:r>
    </w:p>
    <w:p>
      <w:r>
        <w:t>PROTECTION DE L'UNION CONJUGALE; EFFET SUSPENSIF | CPC.315</w:t>
      </w:r>
    </w:p>
    <w:p>
      <w:r>
        <w:t>C/8821/2014 ACJC/211/2015 du 19.02.2015 sur JTPI/387/2015 ( SDF ) Descripteurs : PROTECTION DE L'UNION CONJUGALE; EFFET SUSPENSIF Normes : CPC.315 Par ces motifs RÉPUBLIQUE ET CANTON DE GENÈVE POUVOIR JUDICIAIRE C/8821/2014 ACJC/211/2015 ARRÊT DE LA COUR DE JUSTICE Chambre civile du JEUDI 19 FEVRIER 2015 Entre A______ , domicilié ______, appelant d'un jugement rendu par la 1ère Chambre du Tribunal de première instance de ce canton le 12 janvier 2015, comparant en personne, et B______ , domiciliée _______, intimée, comparant par Me Sandy Zaech, avocate, 19, boulevard Georges-Favon, case postale 5121, 1211 Genève 11, en l'étude de laquelle elle fait élection de domicile. Vu, EN FAIT , le jugement JTPI/387/2015 du 12 janvier 2015, notifié le lendemain à A______, aux termes duquel le Tribunal de première instance, statuant sur mesures protectrices de l'union conjugale, a, notamment, confié à B______ la garde sur C______ (ch. 2), imparti au mari un délai au 31 mars 2015 pour quitter le domicile conjugal attribué à l'épouse (ch. 5 et 6) et fixé la contribution d'entretien due à la famille à 1'500 fr. par mois du 1 er juillet au 31 décembre 2014 (ch. 7) et à 900 fr. par mois du 1 er janvier au 31 mars 2015 (ch. 8), arrêté celle due dès le 1 er avril 2015 pour l'entretien de C______ à 907 fr. par mois (ch. 9) et pour celui de l'épouse à 437 fr. (ch. 10) et donné acte au mari de son engagement à remettre à son épouse les décomptes d'assurance chômage et les relevés de salaire pour attester de ses revenus (ch. 11); Vu l'appel déposé le 23 janvier 2015 par A______ au greffe de la Cour de justice par lequel il conteste les chiffres 7 à 11 du dispositif précité et demande à ce qu'il lui soit donné acte de son engagement de verser mensuellement 600 fr. pour l'entretien de C______ à compter du 1 er juillet 2014; Vu la requête d'effet suspensif de l'appelant, celui-ci exposant que les contributions d'entretien mises à sa charge entament son minimum vital; Qu'invitée à se déterminer sur la requête d'effet suspensif, l'intimée s'y oppose, expliquant que si l'appelant obtenait gain de cause au terme de la procédure d'appel, il pourrait obtenir le remboursement du trop-perçu, que l'appelant avait retrouvé du travail et qu'il n'avait versé ni contribution d'entretien ni allocations familiales à l'intimée, qui ne parvenait pas à couvrir son minimum vital ainsi que celui de la fille du couple;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 minimum vital de l'appelant s'élève, prima facie , sans préjudice de l'examen au fond et en se basant sur les allégations de l'appelant, jusqu'à fin mars 2015 à 3'180 fr. 50 (montant de base OP de 1'200 fr., prime d'assurance maladie de 367 fr. 50, loyer de 1'182 fr., impôts de 361 fr. et frais de transports publics de 70 fr.), puis à 3'198 fr. 50 (montant de base OP de 1'200 fr., prime d'assurance maladie de 367 fr. 50, loyer estimé de 1'200 fr., impôts de 361 fr. et frais de transports publics de 70 fr.), les autres charges que fait valoir l'appelant n'entrant pas dans son minimum vital; Que jusqu'à fin décembre 2014, l'appelant allègue avoir perçu un revenu mensuel net de 5'160 fr. 40, de sorte que son disponible de 1'979 fr. 90 (5'160 fr. – 3'180 fr. 50) lui permet de s'acquitter de la somme de 1'500 fr. par mois, mise à sa charge sous déduction des montants déjà versés par ses soins, telles que les primes d'assurance maladie de son épouse et de sa fille; Que, pour la période allant de janvier à fin mars 2015, l'appelant a estimé le montant des indemnités de chômage à 4'128 fr. 30 par mois, ce qui lui permet également de s'acquitter de la contribution d'entretien de 1'000 fr. par mois fixée par le Tribunal (4'128 fr. 30 – 3'180 fr. 50 = 1'019 fr. 80), sans atteinte à son minimum vital; Qu'à supposer que l'appelant soit toujours au chômage après le 1 er avril 2015, ses indemnités de 4'128 fr. 30 lui permettent également de s'acquitter de la somme totale de 1'344 fr., en considérant que la charge fiscale n'entre plus dans son minimum vital OP, celle-ci devant céder le pas à la contribution d'entretien, lorsque – comme en l'espèce – la situation financière des parties l'exige; Qu'il est à cet égard précisé que les charges de l'intimée, telles que retenues par le Tribunal et non contestées par l'appelant, se montent à 1'806 fr. 15 par mois jusqu'à fin mars 2015, puis à 2'594 fr. 15 par mois pour elle et, pour l'enfant, à 513 fr. 15 par mois, puis à partir d'avril 2015 à 907 fr. 15 par mois, montants que les revenus modestes de l'intimée d'environ 1'800 fr. par mois ne parviennent pas à couvrir; Que contrairement à ce que soutient l'appelant, il n'est prima facie et sans préjudice de l'examen au fond pas rendu vraisemblable que les revenus de l'intimée s'élèveraient à 3'500 fr. par mois environ; Qu'ainsi, le refus d'octroyer l'effet suspensif n'est pas de nature à causer un préjudice difficilement réparable à l'appelant, alors que l'octroi de celui-ci est susceptible d'en causer à l'intimée; Qu'au vu de ce qui précède, la requête d'effet suspensif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aux chiffres 7 à 11 du dispositif du jugement JTPI/387/2015 rendu le 12 janvier 2015 par le Tribunal de première instance dans la procédure C/8821/2014-1. Dit qu'il sera statué sur les frais et dépens de la présente décision avec la décision sur le fond. Siégeant : Madame Florence KRAUSKOPF, présidente; Madame Audrey MARASCO, greffière. La présidente de la Chambre civile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