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C/8759/2021 vom 24. April 2024</w:t>
      </w:r>
    </w:p>
    <w:p>
      <w:r>
        <w:t>GE Cour de justice, 2024-04-24, FR</w:t>
      </w:r>
    </w:p>
    <w:p>
      <w:r>
        <w:rPr>
          <w:b/>
        </w:rPr>
        <w:t xml:space="preserve">Quelle: </w:t>
      </w:r>
      <w:r>
        <w:t>https://mcp.opencaselaw.ch/entscheid/ge_gerichte_C_8759_2021</w:t>
      </w:r>
    </w:p>
    <w:p>
      <w:r>
        <w:t>FR: GE_GERICHTE C/8759/2021 du 24 avril 2024</w:t>
      </w:r>
    </w:p>
    <w:p>
      <w:r>
        <w:t>IT: GE_GERICHTE C/8759/2021 del 24 aprile 2024</w:t>
      </w:r>
    </w:p>
    <w:p>
      <w:pPr>
        <w:pStyle w:val="Heading2"/>
      </w:pPr>
      <w:r>
        <w:t>Regeste</w:t>
      </w:r>
    </w:p>
    <w:p>
      <w:r>
        <w:t>CPC.315</w:t>
      </w:r>
    </w:p>
    <w:p>
      <w:pPr>
        <w:pStyle w:val="Heading2"/>
      </w:pPr>
      <w:r>
        <w:t>Volltext</w:t>
      </w:r>
    </w:p>
    <w:p>
      <w:r>
        <w:t>Genf Cour de Justice (Cour civile) Chambre civile 22.05.2024 C/8759/2021 Genève Cour de Justice (Cour civile) Chambre civile 22.05.2024 C/8759/2021 Ginevra Cour de Justice (Cour civile) Chambre civile 22.05.2024 C/8759/2021</w:t>
      </w:r>
    </w:p>
    <w:p>
      <w:r>
        <w:t>C/8759/2021 ACJC/641/2024 du 22.05.2024 sur JTPI/5042/2024 ( SDF ) Normes : CPC.315 RÉPUBLIQUE ET CANTON DE GENÈVE POUVOIR JUDICIAIRE C/8759/2021 ACJC/641/2024 ARRÊT DE LA COUR DE JUSTICE Chambre civile DU MERCREDI 22 MAI 2024 Entre Monsieur A ______ , domicilié ______, appelant et intimé d'un jugement rendu par la 17ème Chambre du Tribunal de première instance de ce canton le 24 avril 2024, représenté par Me Roxane MOUSSARD, avocate, BORY &amp; ASSOCIES AVOCATS, Cour de Saint-Pierre 7, 1204 Genève, et Madame B ______ , domiciliée ______, intimée et appelante, représentée par Me Virginie JORDAN, avocate, JordanLex, rue de la Rôtisserie 4, 1204 Genève. Attendu, EN FAIT , que par jugement du 24 avril 2024, le Tribunal de première instance, statuant sur mesures protectrices de l'union conjugale, a notamment condamné A______ à verser en mains de B______, par mois et d'avance, dès le mois de mai 2024, allocations familiales non comprises, un montant de 1'300 fr. à titre de contribution à l'entretien de l'enfant C______ (ch. 7) ainsi que des montants de 4'750 fr. à titre d'arriéré de contribution d'entretien pour C______ pour la période d'octobre 2022 à avril 2024 (ch. 8) et de 2'850 fr. à titre d'arriéré de contribution d'entretien pour B______, pour la même période (ch. 9); Que par acte expédié à la Cour de justice le 6 mai 2024, A______ a formé appel contre ce jugement; qu'il a conclu à l'annulation des ch. 7, 8 et 9 de son dispositif et, cela fait, à ce qu'il lui soit donné acte de ce qu'il avait convenablement contribué à l'entretien de C______ d'avril 2021 "jusqu'à ce jour" et qu'il ne doit aucun arriéré, à ce qu'il lui soit donné acte de son engagement à verser en mains de B______ dès la naissance de son nouvel enfant prévue en septembre 2024, par mois et d'avance, allocations familiales non comprises, 1'000 fr. à titre de contribution à l'entretien de C______ et à ce qu'il soit dit qu'aucune contribution d'entretien entre époux n'était due; Qu'il a préalablement conclu à l'octroi de l'effet suspensif à son appel en tant que le jugement attaqué le condamne à verser un arriéré de contribution en faveur de C______ de 4'750 fr. et en faveur de B______ de 2'850 fr.; qu'il a invoqué que le montant desdits arriérés était contesté, que le montant de ceux-ci était supérieur à son salaire mensuel et qu'il serait exposé à d'importantes difficultés financières s'il devait s'en acquitter, quelques mois avant la naissance de son nouvel enfant; Qu'invitée à se déterminer à cet égard, B______ a conclu au rejet de cette requête d'effet suspensif; qu'elle a soutenu que les montants fixés à titre d'arriéré de contributions d'entretien n'étaient pas exorbitants au vu de la situation de A______ "qui roule dans un gros 4X4 D______ luxueux" dont le coût mensuel de leasing et d'entretien est notoirement très élevé et qu'il a effectué d'importantes dépenses en lien avec celui-ci; qu'il n'avait pas établi qu'il ne disposerait pas des liquidités nécessaires pour payer les arriérés litigieux; Que B______ a également formé appel contre le jugement du 24 avril 2024, notamment sur les chiffres de son dispositif qui ont fait l'objet de l'appel de A______;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 Qu’en l'espèce, l'appelant a requis l'octroi de l'effet suspensif à son appel contre le jugement attaqué en tant que celui-ci l'a condamné à verser des sommes de 4'750 fr. et 2'850 fr. à titre d'arriéré de contributions d'entretien, soit les ch. 8 et 9 du dispositif; Que, le montant de l'arriéré n'est pas considérable, mais il représente néanmoins un montant non négligeable au vu des revenus de l'appelant; que celui-ci n'a certes pas précisé s'il disposait d'une fortune et, le cas échéant, de quel montant; que le fait qu'il conduise un véhicule de marque D______, en leasing, ne permet toutefois pas encore, en lui-même, de considérer qu'il dispose en l'état de moyens suffisants pour s'acquitter du montant litigieux; Que pour sa part, l'intimée n'a pas allégué ou rendu vraisemblable que le paiement de l'arriéré à l'issue de la procédure d'appel uniquement, dans l'hypothèse où l'appel – qui ne peut à ce stade, prima facie , être considéré comme d'emblée manifestement dénué de toute chance de succès – serait rejeté, lui causerait un préjudice difficilement réparable; que les arriérés de contributions ne sont pas destinés à couvrir les besoins courants de l'enfant et de l'intimée et que cette dernière peut dès lors vraisemblablement attendre de connaître l’issue de la procédure d’appel pour réclamer, le cas échéant, leur paiement; Qu'au vu de ce qui précède, la requête de restitution de l’effet suspensif sera admise;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des chiffres 8 et 9 du dispositif du jugement JTPI/5042/2024 rendu le 24 avril 2024 par le Tribunal de première instance dans la cause C/8759/2021. Dit qu'il sera statué sur les frais liés à la présente décision dans l'arrêt au fond. Siégeant : Monsieur Laurent RIEBEN, président;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