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C/8554/2013 vom 27. Juni 2014</w:t>
      </w:r>
    </w:p>
    <w:p>
      <w:r>
        <w:t>GE Cour de justice, 2014-06-27, FR</w:t>
      </w:r>
    </w:p>
    <w:p>
      <w:r>
        <w:rPr>
          <w:b/>
        </w:rPr>
        <w:t xml:space="preserve">Quelle: </w:t>
      </w:r>
      <w:r>
        <w:t>https://mcp.opencaselaw.ch/entscheid/ge_gerichte_C_8554_2013</w:t>
      </w:r>
    </w:p>
    <w:p>
      <w:r>
        <w:t>FR: GE_GERICHTE C/8554/2013 du 27 juin 2014</w:t>
      </w:r>
    </w:p>
    <w:p>
      <w:r>
        <w:t>IT: GE_GERICHTE C/8554/2013 del 27 giugno 2014</w:t>
      </w:r>
    </w:p>
    <w:p>
      <w:pPr>
        <w:pStyle w:val="Heading2"/>
      </w:pPr>
      <w:r>
        <w:t>Regeste</w:t>
      </w:r>
    </w:p>
    <w:p>
      <w:r>
        <w:t>BAIL À LOYER; CONDITION DE RECEVABILITÉ; AUTORISATION DE PROCÉDER; FICTION DE LA NOTIFICATION; DÉLAI | CPC.209.1; CPC.59.2; CPC.138.2; CPC.209.4; CPC.145.1.B</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 l'appartement, charges comprises, s'élève à 12'000 fr. En prenant en compte la période de 3 ans, la valeur litigieuse est largement supérieure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La Cour examine, en principe, d'office la recevabilité des faits nouvellement allégués et des pièces produites en appel (Reetz/Hilber, Kommentar zur Schweizerischen Zivilprozessordnung, 2010, n. 26 ad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w:t>
      </w:r>
    </w:p>
    <w:p>
      <w:r>
        <w:rPr>
          <w:b/>
        </w:rPr>
        <w:t>E. 3</w:t>
      </w:r>
    </w:p>
    <w:p>
      <w:r>
        <w:t>3.1 L'art. 197 CPC prescrit que la procédure au fond est précédée d'une tentative de conciliation devant une autorité de conciliation. Il est fait exception à cette exigence dans les cas mentionnés à l'art. 198 CPC - lesquels n'entrent pas en ligne de compte in casu - ainsi que lorsqu'il y a eu renonciation à la procédure de conciliation (art. 199 CPC), ce qui n'est pas le cas en l'espèce. Ainsi, la conciliation était un préalable nécessaire à l'introduction de la demande. D'après l'art. 209 al. 1 CPC,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(ATF 139 III 273 consid. 2.1; FF 2006 6941 ad art. 206; Bohnet, in CPC, Code de procédure civile commenté, 2011, n. 4 ad art. 209 CPC; Egli, in Schweizerische Zivilprozessordnung [ZPO], Brunner/Gasser/Schwander [éd.], 2011, n. 4 ad art. 209 CPC; Honegger, in Kommentar zur Schweizerischen Zivilprozessordnung [ZPO],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Zivilprozessordnung, vol. I, 2012, n. 25 et 161 ad art. 59 CPC; Staehelin et al., Zivilprozessrecht,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w:t>
      </w:r>
    </w:p>
    <w:p>
      <w:r>
        <w:rPr>
          <w:b/>
        </w:rPr>
        <w:t>E. 3.2</w:t>
      </w:r>
    </w:p>
    <w:p>
      <w:r>
        <w:t>Le tribunal notifie aux personnes concernées notamment les citations, les ordonnances et décisions, ainsi que les actes de la partie adverse (art. 136 CPC). Selon l'art. 138 CPC, l'acte judiciaire est réputé notifié lorsqu'il a été remis au destinataire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w:t>
      </w:r>
    </w:p>
    <w:p>
      <w:r>
        <w:rPr>
          <w:b/>
        </w:rPr>
        <w:t>E. 3.3</w:t>
      </w:r>
    </w:p>
    <w:p>
      <w:r>
        <w:t>En l'occurrence, c'est à bon droit que les premiers juges ont examiné, d'office, si le délai pour saisir le Tribunal après la délivrance de l'autorisation de procéder avait été respecté, dès lors qu'il s'agit d'une condition de recevabilité de la demande. Contrairement à ce que soutient l'intimée, il n'y a pas lieu d'interpréter le CPC, en particulier la notion de "délivrance" de l'autorisation de procéder. En effet, le Tribunal fédéral, dans les décisions susmentionnées, a retenu, certes implicitement, que cette autorisation constitue un acte judiciaire. Le dies a quo pour porter l'affaire devant le Tribunal commence donc à courir le lendemain de la notification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w:t>
      </w:r>
    </w:p>
    <w:p>
      <w:r>
        <w:rPr>
          <w:b/>
        </w:rPr>
        <w:t>E. 3.4</w:t>
      </w:r>
    </w:p>
    <w:p>
      <w:r>
        <w:t>En conséquence, l'action a été introduite devant le Tribunal en temps utile, de sorte qu'elle est recevable. Le jugement entrepris sera dès lors annulé et la cause renvoyée aux premiers juges, pour instruction et nouvelle décision.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6 janvier 2014 par A.______ contre le jugement JTBL/1307/2013 rendu le 20 novembre 2013 par le Tribunal des baux et loyers dans la cause C/8554/2013-2-OSB.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