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C/853/2022 vom 5. April 2022</w:t>
      </w:r>
    </w:p>
    <w:p>
      <w:r>
        <w:t>GE Cour de justice, 2022-04-05, FR</w:t>
      </w:r>
    </w:p>
    <w:p>
      <w:r>
        <w:rPr>
          <w:b/>
        </w:rPr>
        <w:t xml:space="preserve">Quelle: </w:t>
      </w:r>
      <w:r>
        <w:t>https://mcp.opencaselaw.ch/entscheid/ge_gerichte_C_853_2022</w:t>
      </w:r>
    </w:p>
    <w:p>
      <w:r>
        <w:t>FR: GE_GERICHTE C/853/2022 du 5 avril 2022</w:t>
      </w:r>
    </w:p>
    <w:p>
      <w:r>
        <w:t>IT: GE_GERICHTE C/853/2022 del 5 aprile 2022</w:t>
      </w:r>
    </w:p>
    <w:p>
      <w:pPr>
        <w:pStyle w:val="Heading2"/>
      </w:pPr>
      <w:r>
        <w:t>Volltext</w:t>
      </w:r>
    </w:p>
    <w:p>
      <w:r>
        <w:t>Genève Cour de Justice (Cour civile) Chambre des baux et loyers 05.04.2022 C/853/2022</w:t>
      </w:r>
    </w:p>
    <w:p>
      <w:r>
        <w:t>C/853/2022 ACJC/480/2022 du 05.04.2022 sur DCBL/177/2022 ( OBL ) RÉPUBLIQUE ET CANTON DE GENÈVE POUVOIR JUDICIAIRE C/853/2022 ACJC/480/2022 ARRÊT DE LA COUR DE JUSTICE Chambre des baux et loyers DU MARDI 5 AVRIL 2022 Entre Monsieur A ______ et Madame B ______ , domiciliés ______, recourants contre une décision rendue par la Commission de conciliation le 17 mars 2022, comparant par Me G______, avocat, ______, en l'étude duquel ils font élection de domicile, et C ______ , p.a D______, sise ______, intimée, représentée par D______, ______, en les bureaux de laquelle elle fait élection de domicile. Vu la requête en contestation de la hausse de loyer déposée par devant la Commission de conciliation en matière de baux et loyers, par B______ et A______ le 18 janvier 2022, à l'encontre de C______; Vu la citation à comparaître à une audience devant se tenir le 17 mars 2022, adressée à B______ et A______; Vu l'audience de la Commission du 17 mars 2022, lors de laquelle ont comparu A______, assisté de E______, avocate-stagiaires, excusant G______, avocat, et F______ pour la D______, représentant C______, B______ étant absente et non excusée, à teneur du procès-verbal; Vu la décision de la Commission du 17 mars 2022, rayant la cause du rôle, "vu le défaut du demandeur à l'audience du 17 mars 2022"; Vu le recours expédié à la Cour le 28 mars 2022 contre cette décision, B______ et A______ sollicitant, à titre préalable, la suspension de la procédure jusqu'à droit jugé sur la demande de restitution ayant pour objet la reconvocation à une audience de conciliation, déposée le 18 mars 2022, et, principalement, l'annulation de la décision déférée et la convocation d'une nouvelle audience de conciliation par la Commission; Attendu EN FAIT que les recourants ont sollicité la restitution de l'effet suspensif au recours; qu'ils font valoir qu'à défaut ils devront subir une augmentation de loyer de plus de 60% qu'ils risquent de ne pouvoir assumer en raison de leurs faibles revenus, de sorte qu'ils pourraient encourir une résiliation du bail; que cela leur causerait un dommage irréparable; Qu'invitée à se déterminer, l'intimée a conclu au rejet de la requête, contestant l'existence d'un dommage difficilement réparable, la demande de restitution ayant emporté de facto la suspension des effets de la hausse de loyer; Considérant, EN DROIT , qu'aux termes de l'art. 319 let. b CPC, le recours est ouvert contre les ordonnances d'instruction et les décisions autres que finales, incidentes ou provisionnelles de première instance, dans les cas prévus par la loi (ch. 1) ou lorsqu'elles peuvent causer un préjudice difficilement réparable (ch. 2). Que la radiation du rôle de la procédure de conciliation selon l'art. 206 al. 1 est un cas spécialement réglé par la loi de radiation d'une cause devenue sans objet, selon l'art. 242 CPC; que l'ordonnance de radiation correspondante est une ordonnance d'instruction de type particulier, qui est soumise à recours selon l'art. 319 lit. b CPC, lorsqu'elle peut causer un préjudice difficilement réparable; que tel est, par exemple, le cas lorsque le dépôt d'une nouvelle requête aux fins de conciliation serait tardif parce qu'à la suite de l'écoulement d'un délai de péremption lors de la radiation du rôle de la procédure de conciliation, un droit matériel a été perdu (arrêts du Tribunal fédéral 4A_137/2013 du 7 novembre 2013 consid. 7.2 et 7.3 et 4A_131/2013 du 3 septembre 2013 consid. 2.2.2.2 et les références citées);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 1);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au vu des chances du succès du recours, après examen de la cause prima facie et sans préjudice de l'examen au fond, et des conséquences que pourraient avoir une hausse de loyer de 60% sur la situation des recourants, il se justifie de faire droit à la requête; Qu'en effet, l'intérêt des recourants l'emporte sur celui de l'intimée à encaisser sans délai un loyer augmenté; Qu'enfin, il se peut que le recours devienne sans objet s'il devait être fait droit par la Commission à la demande de restitution, élément supplémentaire pour admettre la requête. * * * * * PAR CES MOTIFS, La Présidente de la Chambre des baux et loyers : Statuant sur la suspension de l'effet exécutoire : Admet la requête tendant à la suspension de l'effet exécutoire attaché à la décision rendue le 17 mars 2022 par la Commission de conciliation en matière de baux et loyers dans la cause C/853/2022. Siégeant : Madame Nathalie LANDRY-BARTHE,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