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C/8537/2019 vom 27. Juli 2021</w:t>
      </w:r>
    </w:p>
    <w:p>
      <w:r>
        <w:t>GE Cour de justice, 2021-07-27, FR</w:t>
      </w:r>
    </w:p>
    <w:p>
      <w:r>
        <w:rPr>
          <w:b/>
        </w:rPr>
        <w:t xml:space="preserve">Quelle: </w:t>
      </w:r>
      <w:r>
        <w:t>https://mcp.opencaselaw.ch/entscheid/ge_gerichte_C_8537_2019</w:t>
      </w:r>
    </w:p>
    <w:p>
      <w:r>
        <w:t>FR: GE_GERICHTE C/8537/2019 du 27 juillet 2021</w:t>
      </w:r>
    </w:p>
    <w:p>
      <w:r>
        <w:t>IT: GE_GERICHTE C/8537/2019 del 27 luglio 2021</w:t>
      </w:r>
    </w:p>
    <w:p>
      <w:pPr>
        <w:pStyle w:val="Heading2"/>
      </w:pPr>
      <w:r>
        <w:t>Erwägungen</w:t>
      </w:r>
    </w:p>
    <w:p>
      <w:r>
        <w:rPr>
          <w:b/>
        </w:rPr>
        <w:t>E. 4</w:t>
      </w:r>
    </w:p>
    <w:p>
      <w:r>
        <w:t>.1.2 À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ATF 127 III 357 consid. 4c/bb). Il incombe à la partie qui se prévaut d'un abus de droit d'établir les circonstances particulières qui autorisent à retenir cette exception (ATF 135 III 162 consid. 3.3.1; ATF 133 III 61 consid. 5.1).56</w:t>
      </w:r>
    </w:p>
    <w:p>
      <w:r>
        <w:rPr>
          <w:b/>
        </w:rPr>
        <w:t>E. 4.2</w:t>
      </w:r>
    </w:p>
    <w:p>
      <w:r>
        <w:t>En l’espèce, les vacances ont été imposées au travailleur pratiquement sans aucun délai lui permettant de s’organiser, la requête de l'appelante ayant été formulée le vendredi 17 juin 2016, en fin de journée, par courriel, avec un délai de réponse échéant le mardi suivant pour prendre 10 jours de vacances sur le mois en cours. L’accord de l'intimé fut-il dans un délai si bref qu'il serait sans portée, étant mis devant le fait accompli de l'employeur et il pouvait s'en départir. Invoquer dans de telles circonstances un abus de droit de sa part est particulièrement audacieux et cet argument doit être écarté sans autre considération.</w:t>
      </w:r>
    </w:p>
    <w:p>
      <w:r>
        <w:rPr>
          <w:b/>
        </w:rPr>
        <w:t>E. 5</w:t>
      </w:r>
    </w:p>
    <w:p>
      <w:r>
        <w:t>5.1 L'appelante argue enfin que l'intimé a tardé pour agir, ayant renoncé à son salaire en août 2017, quitté son emploi en mars 2018 et attendu 2019 pour déposer sa demande. Les actions des travailleurs pour leurs services se prescrivent par cinq ans (art. 128 ch. 3 CO).</w:t>
      </w:r>
    </w:p>
    <w:p>
      <w:r>
        <w:rPr>
          <w:b/>
        </w:rPr>
        <w:t>E. 5.2</w:t>
      </w:r>
    </w:p>
    <w:p>
      <w:r>
        <w:t>En l’occurrence, alors qu’il avait admis, par convention écrite du 3 août 2017, ne pas avoir de prétentions salariales pour la période de juin à octobre 2016, l’intimé est revenu sur cet accord et a actionné l’appelante en 2019, alors que les rapports de travail avaient cessé le 31 mars 2018. On ne saurait dans ces circonstances considérer que l’intimé a tardé à agir et il n’y a aucun abus de droit de ce fait. Il n’y en a pas non plus au regard du fait qu’il est revenu sur une discussion commune à la suite de laquelle il avait renoncé à ses droits. En effet, ainsi que cela a été établi ci-dessus, cet accord, qui ne lui procurait aucun avantage, était entaché de nullité. Cet argument doit donc être écarté. Contrairement à ce que prétend l’appelante, il ne saurait être reproché à l’intimé de ne pas l’avoir averti de ses prétentions dès la fin des relations de travail et il ne se justifie pas non plus retenir que l’intimé aurait commis un abus de droit en réclamant l’indemnisation à laquelle il avait renoncé, puisque cette renonciation n’était pas valable. Le jugement entrepris sera donc intégralement confirmé.</w:t>
      </w:r>
    </w:p>
    <w:p>
      <w:r>
        <w:rPr>
          <w:b/>
        </w:rPr>
        <w:t>E. 6</w:t>
      </w:r>
    </w:p>
    <w:p>
      <w:r>
        <w:t>La procédure étant gratuite, il n'est pas perçu de frais judiciaires (art. 71 RTFMC) ni alloué de dépens (art. 22 al. 2 LaCC). * * * * * PAR CES MOTIFS, La Chambre des prud'hommes, groupe 4 : A la forme : Déclare recevable l'appel formé le 17 février 2021 par A______ SA SOCIETE SUISSE DE SURVEILLANCE contre le jugement JTPH/10/2021 rendu par le Tribunal des prud'hommes le 13 janvier 2021 dans la cause C/8537/2019-4. Au fond : Confirme ce jugement. Déboute les parties de toutes autres conclusions. Sur les frais : Dit qu'il n'est pas perçu de frais judiciaires ni alloué de dépens d'appel. Siégeant : Monsieur Louis PEILA, président; Monsieur Olivier GROMETTO,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