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C/8423/2018 vom 13. Januar 2021</w:t>
      </w:r>
    </w:p>
    <w:p>
      <w:r>
        <w:t>GE Cour de justice, 2021-01-13, FR</w:t>
      </w:r>
    </w:p>
    <w:p>
      <w:r>
        <w:rPr>
          <w:b/>
        </w:rPr>
        <w:t xml:space="preserve">Quelle: </w:t>
      </w:r>
      <w:r>
        <w:t>https://mcp.opencaselaw.ch/entscheid/ge_gerichte_C_8423_2018</w:t>
      </w:r>
    </w:p>
    <w:p>
      <w:r>
        <w:t>FR: GE_GERICHTE C/8423/2018 du 13 janvier 2021</w:t>
      </w:r>
    </w:p>
    <w:p>
      <w:r>
        <w:t>IT: GE_GERICHTE C/8423/2018 del 13 gennaio 2021</w:t>
      </w:r>
    </w:p>
    <w:p>
      <w:pPr>
        <w:pStyle w:val="Heading2"/>
      </w:pPr>
      <w:r>
        <w:t>Erwägungen</w:t>
      </w:r>
    </w:p>
    <w:p>
      <w:r>
        <w:rPr>
          <w:b/>
        </w:rPr>
        <w:t>E. 23</w:t>
      </w:r>
    </w:p>
    <w:p>
      <w:r>
        <w:t>juin 2014 2 h 6 juillet 2014 4 h 19 septembre 2014 0,75 h 20-21 septembre 2014 12 h</w:t>
      </w:r>
    </w:p>
    <w:p>
      <w:r>
        <w:rPr>
          <w:b/>
        </w:rPr>
        <w:t>E. 25</w:t>
      </w:r>
    </w:p>
    <w:p>
      <w:r>
        <w:t>août 2015 4 h 19-20 septembre 2015 2 h</w:t>
      </w:r>
    </w:p>
    <w:p>
      <w:r>
        <w:rPr>
          <w:b/>
        </w:rPr>
        <w:t>E. 29</w:t>
      </w:r>
    </w:p>
    <w:p>
      <w:r>
        <w:t>novembre 2015 12 h 2 décembre 2015 3,5 h</w:t>
      </w:r>
    </w:p>
    <w:p>
      <w:r>
        <w:rPr>
          <w:b/>
        </w:rPr>
        <w:t>E. 30</w:t>
      </w:r>
    </w:p>
    <w:p>
      <w:r>
        <w:t>août 2016 2 h 17 septembre 2016 4 h Total 83,75 h 4.3 Ainsi, l'appelante a travaillé quatre-vingt-trois heures et quarante-cinq minutes supplémentaires entre le 23 juin 2014 et le 30 octobre 2016. Ce montant étant supérieur à celui de septante-deux heures et quarante-cinq minutes retenu par le Tribunal, l'appel sera partiellement admis, étant précisé qu'il faut encore déterminer le montant de la rémunération due pour les heures supplémentaires. L'appel joint sera quant à lui rejeté. 5.             L'appelante soutient que le salaire relatif aux heures supplémentaires doit être majoré de 25%, voire de 50% en ce qui concerne les heures de travail effectuées un dimanche. 5.1 Selon l'art. 321 c al. 3 CO, l'employeur est tenu de rétribuer les heures de travail supplémentaires qui ne sont pas compensées par un congé en versant le salaire normal majoré d'un quart au moins, sauf clause contraire d'un accord écrit, d'un contrat-type de travail ou d'une convention collective. Selon l'art. 19 al. 3 LTr, l'employé a droit à une majoration de salaire de 50% en cas de travail dominical temporaire. En revanche, aucune compensation financière n'est prévue pour le travail dominical régulier ou périodique (art. 19 al. 2 LTr a contrario ); le travailleur qui a été engagé pour un tel travail est présumé avoir donné son consentement à la conclusion du contrat, et le salaire proposé est censé répondre aux inconvénients résultant de ce régime (arrêt du Tribunal fédéral 4A_515/2014 du 26 février 2015 consid. 2.3). L'art. 18 al. 4 CCT BP prévoit que les heures supplémentaires sont en principe compensées par un congé compensatoire de même durée, dans un délai de 12 mois. Il est possible de convenir sur la base d'un contrat individuel de travail qu'exceptionnellement, ces heures supplémentaires soient payées avec une majoration de 25% (art. 18 al. 4 et 5 CCT BP). Les travailleurs ne peuvent prétendre à un supplément de salaire de 25% que pour les heures supplémentaires qui n'ont pas été compensées par un congé (art. 18 al. 5 CCT BP). 5.2. En l'espèce, les heures supplémentaires effectuées par l'appelante n'ont pas été compensées par un congé. Elle a ainsi droit à son salaire normal, majoré d'un quart. En effet, la CCT BP ne déroge pas le régime légal sur ce point. C'est donc à tort que le Tribunal n'a pas tenu compte de cette majoration. L'intimée n'allègue pas que l'appelante ait fourni un travail dominical régulier ou périodique. Pour les heures de travail effectuées un dimanche, l'appelante a dès lors droit à une majoration de salaire de 50%. Avant le 1 er octobre 2014, le salaire horaire de l'appelante était de 22 fr. (4'000 fr. / 4.33 semaines / 42 heures, arrondi). Le salaire horaire majoré de 25% est de 27 fr. 50. Pour le travail du dimanche, le salaire horaire est de 33 fr. (22 fr. x 1.5). Entre le 23 juin 2014 et le 30 septembre 2014, l'appelante a travaillé dix-huit heures et quarante-cinq minutes supplémentaires, dont quatre le dimanche (6 juillet 2014); pour le weekend du 20 au 21 septembre 2014, il n'est pas possible de déterminer si les heures ont été fournies le samedi ou le dimanche et celles-ci ne donneront dès lors pas lieu à la majoration de 50%. Il en résulte une prétention de 537 fr. 65 (27 fr. 50 x 14.75 h + 33 fr. x 4 h, arrondi). Entre le 1 er octobre 2014 et le 31 août 2016, le salaire horaire de l'appelante était de 28 fr. 60 (5'200 fr. / 4.33 semaines / 42 heures, arrondi). Le salaire horaire majoré de 25% est de 35 fr. 75. Pour le travail du dimanche, le salaire horaire est de 42 fr. 90 (28 fr. 60 x 1.5). Durant cette période, l'appelante a travaillé soixante et une heures supplémentaires, dont seize le dimanche (4 h le 23 novembre 2014 et 12 h le 29 novembre 2014). Il en résulte une prétention de 2'295 fr. 15 (35 fr. 75 x 45 h + 42 fr. 90 x 16 h). Entre le 1 er septembre et le 31 décembre 2016, le salaire horaire de l'appelante était de 31 fr. 35 (5'700 fr / 4.33 semaines / 42 heures, arrondi). Le salaire horaire majoré de 25% est de 39 fr. 20. Durant cette période, l'appelante a travaillé quatre heures supplémentaires. Il en résulte une prétention de 156 fr. 80 (39 fr. 20 x 4). Au total, la prétention de l'appelante en rémunération de ses heures supplémentaires se monte donc à 2'989 fr. 60. Ce montant s'ajoute aux 3'347 fr. 15 dus à l'appelante par l'intimée à titre d'indemnités de vacances non prises, qui ne sont pas contestés par les parties. La somme due à l'appelante par l'intimée est donc de 6'336 fr. 75. Le chiffre 3 du dispositif du jugement attaqué sera réformé en ce sens. 6.             L'appelante conteste devoir rembourser les frais de sa formation MBA à l'intimée, dans la mesure où, d'une part, cette dernière a exigé que le mémoire s'inscrive dans ses intérêts et, d'autre part, l'appelante a résilié le contrat en raison d'un burn-out causé par le rythme de travail imposé par l'intimée. 6.1 L'employeur rembourse au travailleur tous les frais imposés par l'exécution du travail (art. 327 a al. 1 CO). S'agissant des frais de formation, il convient de distinguer entre la formation qui sert uniquement au travailleur à se familiariser avec son travail au sein de l'entreprise ( "Einarbeitung" ou "Einbildung" ) et la formation complémentaire procurant au travailleur un avantage personnel perdurant au-delà des rapports de travail et pouvant être exploité sur le marché du travail ( "Ausbildung" ou "Weiterbildung" ). Les frais liés au premier type de formation sont des "frais imposés par l'exécution du travail" au sens de l'art. 327 a al. 1 CO, ce qui n'est pas le cas des frais liés au second type de formation (Portmann/Rudolph, in Basler Kommentar, OR I, 7 e éd. 2020, n. 3 ad art. 327 a CO). Dans ce dernier cas, l'employeur ne doit les supporter que si un accord le prévoit (arrêt du Tribunal fédéral 4P_264/2001 du 10 janvier 2002 consid. 2/cc; Wyler/Heinzer, Droit du travail, 4 e éd. 2019, p. 387; Streiff/von Kaenel/Rudolph, Arbeitsvertrag, Praxiskommentar, 7 e éd. 2012, n. 7 ad art. 327a CO p. 495). Le cas échéant, l'employeur peut subordonner la prise en charge des frais à une obligation de remboursement du travailleur en cas de fin des rapports de travail avant l'échéance d'une certaine durée à compter du terme de la formation, qui ne devrait pas dépasser trois ans (Portmann/Rudolph, op. cit., n. 4 ad art. 327 a CO et les références citées; Wyler/Heinzer, Droit du travail, 4 e éd. 2019, p. 388). Selon la jurisprudence de la Chambre des prud'hommes, l'art. 340 c al. 2 CO - lequel prévoit qu'une prohibition de faire concurrence cesse si l'employeur résilie le contrat sans que le travailleur lui ait donné un motif justifié - doit être appliqué par analogie aux clauses de remboursement de frais de formation (arrêt CAPH/86/2016 du 11 mai 2016 consid. 4.1.2 et les références citées). Il doit en aller de même lorsque le travailleur résilie le contrat de travail pour un motif dont l'employeur doit répondre (Portmann/Rudolph, op. cit., n. 4 ad art. 327 a CO). Devant le Tribunal fédéral, la question de l'application par analogie de l'art. 34c al. 2 CO reste indécise (arrêt du Tribunal fédéral 4A_90/2009 du 25 septembre 2009 consid. 3). 6.2 En l'espèce, le Tribunal a retenu à raison que la convention de formation liant les parties était valable, l'appelante elle-même ayant souligné qu'il s'agissait d'une opportunité et s'étant prévalue de son titre dans ses recherches d'emploi. Les faits avancés par l'appelante, à savoir que son travail de mémoire aurait été rédigé dans l'intérêt de l'intimée, ne l'empêchent pas d'exploiter ce titre sur le marché du travail et d'en tirer un avantage perdurant au-delà des rapports de travail liant les parties. Quant à l'éventuelle caducité de l'accord, l'instruction n'a pas permis d'établir que le départ de l'appelante aurait été motivé par une surcharge de travail chronique imputable à l'intimée. Les faits que l'appelante allègue à cet égard dans son appel ne justifient pas de revenir sur le constat du Tribunal à cet égard. En effet, quand bien même les différents témoignages mis en avant attestent d'une charge de travail importante reposant sur les épaules de l'appelante et d'une certaine fatigue - qui peut toutefois aussi résulter du cumul d'un emploi à 100% et de la formation de l'appelante -, l'existence d'un épuisement dû à un stress chronique imputable à l'employeur n'est pas établie. L'arrêt de travail du 17 au 24 mars 2020 semble être en relation avec un événement ponctuel survenu le dimanche précédent, dont on ne sait pas s'il est en relation avec le travail. Cet arrêt semble être au surplus une occurrence unique à laquelle F______ a réagi en recommandant à l'appelante de prendre quelques jours de vacances. Par ailleurs, selon ses notes, le médecin de l'appelante n'a pas constaté de burn-out , bien qu'il ait examiné cette question ("burn out-na") . Enfin, comme l'a retenu le Tribunal, l'intimée n'a pas formulé de plaintes à cet égard au moment de la résiliation de son contrat de travail. Dès lors, l'appelante ne saurait s'opposer au remboursement des frais de formation exigé par l'intimée. L'appel sera rejeté sur ce point. 7.             La valeur litigieuse en appel étant inférieure à 50'000 fr., il ne sera pas perçu de frais judiciaires (art. 116 al. 1 CPC; art. 19 al. 3 let. c LaCC; art. 71 du Règlement genevois fixant le tarif des frais en matière civile [RTFMC, RS/GE E 1 05.10]). Il n'est pas alloué de dépens d'appel ni d'indemnité pour la représentation en justice dans les causes soumises à la juridiction des prud'hommes (art. 22 al. 2 LaCC). * * * * * PAR CES MOTIFS, La Chambre des prud'hommes, groupe 2 : A la forme : Déclare recevables l'appel interjeté le 13 mars 2020 et l'appel joint interjeté le 14 mai 2020 contre le jugement JTPH/76/2020 rendu le 2 mars 2020 par le Tribunal des prud'hommes dans la cause C/8423/2018. Au fond : Annule le chiffre 3 du dispositif du jugement attaqué et, statuant à nouveau: Condamne B______ SA à verser à A______ la somme brute de 6'336 fr. 75 avec intérêts moratoires à 5% l'an dès le 1 er janvier 2017. Confirme le jugement entrepris pour le surplus. Déboute les parties de toutes autres conclusions. Sur les frais : Dit qu'il n'est pas perçu de frais judiciaires ni alloué de dépens d'appel. Siégeant : Monsieur Laurent RIEBEN, président; Monsieur Vincent CANONICA,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