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C/8301/2022 vom 6. November 2025</w:t>
      </w:r>
    </w:p>
    <w:p>
      <w:r>
        <w:t>GE Cour de justice, 2025-11-06, FR</w:t>
      </w:r>
    </w:p>
    <w:p>
      <w:r>
        <w:rPr>
          <w:b/>
        </w:rPr>
        <w:t xml:space="preserve">Quelle: </w:t>
      </w:r>
      <w:r>
        <w:t>https://mcp.opencaselaw.ch/entscheid/ge_gerichte_C_8301_2022</w:t>
      </w:r>
    </w:p>
    <w:p>
      <w:r>
        <w:t>FR: GE_GERICHTE C/8301/2022 du 6 novembre 2025</w:t>
      </w:r>
    </w:p>
    <w:p>
      <w:r>
        <w:t>IT: GE_GERICHTE C/8301/2022 del 6 novembre 2025</w:t>
      </w:r>
    </w:p>
    <w:p>
      <w:pPr>
        <w:pStyle w:val="Heading2"/>
      </w:pPr>
      <w:r>
        <w:t>Erwägungen</w:t>
      </w:r>
    </w:p>
    <w:p>
      <w:r>
        <w:rPr>
          <w:b/>
        </w:rPr>
        <w:t>E. 4</w:t>
      </w:r>
    </w:p>
    <w:p>
      <w:r>
        <w:t>Les frais judiciaires d'appel seront arrêtés à 800 fr. (art. 96 CPC et art. 35 RTFMC) et mis à la charge de l'appelant qui succombe (art. 106 al. 1 CPC). Celui-ci plaidant au bénéfice de l'assistance judiciaire, ces frais seront laissés provisoirement à la charge de l'Etat de Genève, qui pourra en solliciter le remboursement selon l'art. 123 CPC. Pour des motifs d'équité liés à la nature familiale du litige, il ne sera pas alloué de dépens d'appel (art. 107 al. 1 let. c CPC). * * * * * PAR CES MOTIFS, La Chambre civile : A la forme : Déclare recevable l'appel interjeté par A______ contre le jugement JTPI/14216/2024 rendu le 12 novembre 2024 par le Tribunal de première instance dans la cause C/8301/2022. Au fond : Confirme ce jugement. Déboute les parties de toutes autres conclusions. Sur les frais : Arrête les frais d'appel à 800 fr., les met à la charge de A______, et dit qu'ils sont provisoirement supportés par l'Etat de Genève. Dit qu'il n'est pas alloué de dépens d'appel. Siégeant : Monsieur Cédric-Laurent MICHEL, président; Madame Pauline ERARD, Madame Paola CAMPOMAGNANI,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