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C/7761/2002 vom 21. September 2004</w:t>
      </w:r>
    </w:p>
    <w:p>
      <w:r>
        <w:t>GE Cour de justice, 2004-09-21, FR</w:t>
      </w:r>
    </w:p>
    <w:p>
      <w:r>
        <w:rPr>
          <w:b/>
        </w:rPr>
        <w:t xml:space="preserve">Quelle: </w:t>
      </w:r>
      <w:r>
        <w:t>https://mcp.opencaselaw.ch/entscheid/ge_gerichte_C_7761_2002</w:t>
      </w:r>
    </w:p>
    <w:p>
      <w:r>
        <w:t>FR: GE_GERICHTE C/7761/2002 du 21 septembre 2004</w:t>
      </w:r>
    </w:p>
    <w:p>
      <w:r>
        <w:t>IT: GE_GERICHTE C/7761/2002 del 21 settembre 2004</w:t>
      </w:r>
    </w:p>
    <w:p>
      <w:pPr>
        <w:pStyle w:val="Heading2"/>
      </w:pPr>
      <w:r>
        <w:t>Regeste</w:t>
      </w:r>
    </w:p>
    <w:p>
      <w:r>
        <w:t>CONTRAT INDIVIDUEL DE TRAVAIL; AVIATION CIVILE; PERSONNEL AÉRONAUTIQUE; ACTION EN CONSTATATION; CONDITION DE RECEVABILITÉ; LÉGITIMATION ACTIVE ET PASSIVE; CESSION D'UN PATRIMOINE OU D'UNE ENTREPRISE; PRINCIPE DE LA CONFIANCE(INTERPRÉTATION DU CONTRAT); SURSIS CONCORDATAIRE; GROUPE DE SOCIÉTÉS; PLAN SOCIAL; CONVENTION COLLECTIVE DE TRAVAIL ; RETRAITE ANTICIPÉE; VERSEMENT ANTICIPÉ; IMPUTATION DES AVANTAGES; MOTIVATION DE LA DEMANDE; MAXIME INQUISITOIRE; IMPOSSIBILITÉ OBJECTIVE; ÉGALITÉ DE TRAITEMENT; ÉMOLUMENT DE JUSTICE |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E1. La société a ensuite créé une filiale, E, reprennant l'ensemble du service au sol et aux passagers de E1. Il s'agit d'un transfert d'entreprise, aussi, les droits et obligations d'E1 vis-à-vis de ses employés sont automatiquement passés à E, laquelle était tenue d'appliquer le plan social conclu par E1. Il résulte du texte clair du courrier adressé par E à T en vue de sa mise en pré-retraite que celle-ci est débitrice des prestations dues en vertu du plan social d'E1. Le fait que T ait également produit sa créance dans la procédure de sursis concordataire d'E2 ne lui enlève pas sa qualité de débitrice. Il n'est au surplus pas exclu qu'E2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E2, société mère actuellement en sursis concordataire, a adressées aux employés d'E lient cette dernière, dans la mesure où les salaires des employés d'E ont toujours été versés par E2,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Il y a lieu d'imputer, sur les rentes échues ou à échoir, la somme reçue du SECO, valeur au jour de sa réception. Enfin, E est condamnée à accorder à T les mêmes facilités de transport qu'à ses autres retraités. | CO.18; CO.333; CO.343; LJP.1; LJP.11; LJP.15; LJP.20; LJP.29; LPC.5; LPC.7</w:t>
      </w:r>
    </w:p>
    <w:p>
      <w:pPr>
        <w:pStyle w:val="Heading2"/>
      </w:pPr>
      <w:r>
        <w:t>Erwägungen</w:t>
      </w:r>
    </w:p>
    <w:p>
      <w:r>
        <w:rPr>
          <w:b/>
        </w:rPr>
        <w:t>E. 2</w:t>
      </w:r>
    </w:p>
    <w:p>
      <w:r>
        <w:t>Prestations versées par E_______</w:t>
      </w:r>
    </w:p>
    <w:p>
      <w:r>
        <w:rPr>
          <w:b/>
        </w:rPr>
        <w:t>E. 2.1</w:t>
      </w:r>
    </w:p>
    <w:p>
      <w:r>
        <w:t>Prestations de base Du 1 er janvier 1999 au 31 décembre 2003, E_______ vous versera une prestation mensuelle correspondant à 70% de votre dernier salaire mensuel (Fr. 4'882.75) = Fr. 3'417.90</w:t>
      </w:r>
    </w:p>
    <w:p>
      <w:r>
        <w:rPr>
          <w:b/>
        </w:rPr>
        <w:t>E. 2.2</w:t>
      </w:r>
    </w:p>
    <w:p>
      <w:r>
        <w:t>Versement transitoire 1 Du 1 er janvier au 31 mars 2004, E_______ vous versera une prestation mensuelle correspondant à 50% de votre dernier salaire mensuel (au minimum Fr. 3'000.--) = Fr. 3'000.—. Ces versements, points 2.1 et 2.2, seront effectués 12 fois par an. Il n’y aura pas de 13 ème salaire.</w:t>
      </w:r>
    </w:p>
    <w:p>
      <w:r>
        <w:rPr>
          <w:b/>
        </w:rPr>
        <w:t>E. 2.3</w:t>
      </w:r>
    </w:p>
    <w:p>
      <w:r>
        <w:t>Versement transitoire 2 : « pont AVS » depuis le début de la rente de la Caisse A_______ jusqu’à l’âge de la retraite AVS Durant la période du 1 er avril 2004 (début de la retraite anticipée Caisse A_______/AC) jusqu’au 31 mars 2007, E_______ vous versera mensuellement un montant de fr. 1'990.--. Ce versement sera également effectué 12 fois par an.</w:t>
      </w:r>
    </w:p>
    <w:p>
      <w:r>
        <w:rPr>
          <w:b/>
        </w:rPr>
        <w:t>E. 2.4</w:t>
      </w:r>
    </w:p>
    <w:p>
      <w:r>
        <w:t>Primes de la Caisse A_______ Depuis la date de votre départ à la retraite (1 er janvier 1999) et jusqu’à la date de votre retraite anticipée Caisse A_______/AC (1 er avril 2004), E_______ prend en charge la totalité des primes sur le dernier salaire assuré (participations employeur et employé) de la caisse générale de prévoyance.</w:t>
      </w:r>
    </w:p>
    <w:p>
      <w:r>
        <w:rPr>
          <w:b/>
        </w:rPr>
        <w:t>E. 3</w:t>
      </w:r>
    </w:p>
    <w:p>
      <w:r>
        <w:t>Retraite avec réduction de rente au 1 er avril 2004 Comme prévu dans le plan social 1998, votre départ à la retraite (régulière) sera avancé d’une année. Selon le règlement de la Caisse A_______/AC, une prestation réduite vous sera versée mensuellement dès le 1 er avril 2004. Son montant sera confirmé à temps par l’institution de prévoyance. En cas de décès ou d’invalidité avant cette date, le règlement de la Caisse A_______/ AC fait foi.</w:t>
      </w:r>
    </w:p>
    <w:p>
      <w:r>
        <w:rPr>
          <w:b/>
        </w:rPr>
        <w:t>E. 4</w:t>
      </w:r>
    </w:p>
    <w:p>
      <w:r>
        <w:t>Assurances et impôts</w:t>
      </w:r>
    </w:p>
    <w:p>
      <w:r>
        <w:rPr>
          <w:b/>
        </w:rPr>
        <w:t>E. 4.1</w:t>
      </w:r>
    </w:p>
    <w:p>
      <w:r>
        <w:t>En adoptant le plan social 1995, E1______ s’est lié par une convention collective de travail (cf. ATF du 5 janvier 1999, cause 4P.168/1998 p. 5), applicable, aux termes même de son libellé, à l’ensemble du personnel au sol lié par le contrat-cadre, dont il n’est pas contesté que T_______ faisait partie. Les améliorations apportées audit plan social 1995 par E1______ en avril 1996, avec l’accord des syndicats cocontractants, revêtent la même qualité. Ultérieurement, le service au sol aux avions et aux passagers de E1______ dans lequel travaillait T_______ a été « filialisé », à savoir repris par la société E_______ nouvellement crée en août 1996. Cette opération se qualifie comme un transfert d’entreprise au sens de l’art. 333 CO.</w:t>
      </w:r>
    </w:p>
    <w:p>
      <w:r>
        <w:rPr>
          <w:b/>
        </w:rPr>
        <w:t>E. 4.2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4.3</w:t>
      </w:r>
    </w:p>
    <w:p>
      <w:r>
        <w:t>En l’espèce, E_______, après sa création en août 1996, a repris tant l’exploitation que le personnel du service au sol et aux passagers, soit une partie de l’entreprise E1______;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E1______ lui sont ainsi opposables, dans les limites de l’art. 333 al. 1bis CO. E_______ était ainsi tenu par le plan social 1995/1996 de E1______ durant une année, soit jusqu’au 31 décembre 1997. Ultérieurement, en adoptant en avril 1998 le plan social 1998, elle s’est elle-même liée par une convention collective de travail de teneur identique, s’agissant des conditions de préretraite, au plan social E1______ 1995. Il en est de même des règlements faisant partie intégrante desdits contrats, en particulier celui, dont il sera question ci-dessous, relatif aux facilités de transport. C’est dans ce contexte que l’accord portant sur la préretraite de T_______ a été conclu par les parties.</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 Schluep, Tercier ,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27 août 1998, E_______ a informé T_______ des modalités de la retraite anticipée dont il allait bénéficier dès le 1 er janvier 1999. T_______ a admis en avoir accepté les termes. Même s’il considère ne pas avoir eu le choix, puisqu’en les refusant, il se serait exposé à un licenciement « sec », il s’agit là d’un accord contractuel portant sur la fin des rapports de travail, admissible au regard de l’art. 335 CO. Aux termes de cet accord, l’employé accepte la cessation du rapport de travail au 1 er janvier 1999; il accepte, de même, un versement anticipé de ses futures rentes de retraite d’une année, moyennant un abattement de 2%, si l’on se réfère au tableau figurant au ch. 8.3.2 des plans sociaux E_______ 1998 et E1______ 1995. En contrepartie, lui sont promises diverses prestations mensuelles, qui peuvent (mais ne doivent pas) être réduites, si l’employé exerce une activité professionnelle à plein temps lui rapportant un revenu, qui cumulé avec celles-ci, dépasse le 100% de son dernier salaire. S’agissant du débiteur des prestations convenues, le texte du courrier de E_______ à T_______ du 27 août 1998 est dépourvu d’ambiguïté : il stipule en effet expressément que c’est E_______ qui versera à ce dernier les différentes prestations, liées à sa retraite anticipée, qui y sont énumérée. Ce texte clair n’est pas démenti par d’autres conditions du contrat ou par les circonstances dans lesquelles il a été établi. D’une part, ce courrier mentionne, en annexe, le plan social de E_______ version 1998, signé par la Direction d’une part et le Comité d’entreprise d’autre part et qui constitue une convention collective qui engage manifestement E_______. E_______ soutient toutefois que c’est non ce plan social, mais celui de E2______, option 1996/2000, qui s’applique au cas d’espèce. Les prestations promises à T_______ correspondent à celles prévues non à l’art. 8 du plan social E_______, mais à celles des améliorations apportées par E1______, en avril 1996, au plan social 1995. Le texte même du courrier parle d’ailleurs de « plan social 1998 amélioré », ce par quoi on pourrait comprendre un renvoi aux améliorations adoptées par E1______, pour l’ensemble du groupe, en 1996, puisque le plan social E_______ n’a fait l’objet d’aucune modification ou amélioration. Cette circonstance ne serait toutefois pas de nature à dénier à E_______ la qualité de débitrice des prestations promises.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or, en cas de retraite anticipée, il est usuel que c’est l’employeur qui assume les prestations de préretraite prévues; in casu , les fiches de paie reçues par T_______ après le 1 er janvier 1999 ont bien été libellées au nom de E_______. Peu importe, à cet égard, que les montants versés en exécution de l’accord conclu, aient en réalité été opérés par E2______, au moyen de fonds spécialement prévus par cette dernière à cet effet. D’une part, l’exécution par un tiers d’une obligation contractuelle est licite; d’autre part, il a été confirmé lors des enquêtes que, d’une manière générale, c’est E2______ qui tenait la comptabilité des filiales et qui s’occupait du versement des salaires des employés au sol « filialisés », les différentes filiales étant identifiées dans sa propre comptabilité par un code chiffré (décl. B_____). E_______ ne saurait tirer davantage argument du fait que T_______ a produit sa créance dans le sursis concordataire de E2______ et obtenu de la Confédération (SECO) une aide destinée aux créanciers de cette dernière. D’une part en effet, T_______ a été formellement invité à produire dans ledit sursis par courrier du 1 er novembre 1998 qui lui a été adressé par E2______; d’autre part, au vu de la contestation, par E_______, de sa qualité de débitrice et face à l’incertitude juridi-que qui en découlait, on ne peut reprocher à T_______ d’avoir voulu sauvegarder ses droits en produisant sa créance dans le sursis concordataire E2______ (débitrice alléguée par E_______) et d’avoir cherché à diminuer son dommage en sollicitant un versement du SECO. Enfin, il n’est pas exclu que E2______ supporte une responsabilité solidaire, s’agissant des prestations promises à T_______, question qui n’est toutefois pas soumise à la Cour.</w:t>
      </w:r>
    </w:p>
    <w:p>
      <w:r>
        <w:rPr>
          <w:b/>
        </w:rPr>
        <w:t>E. 6</w:t>
      </w:r>
    </w:p>
    <w:p>
      <w:r>
        <w:t>E_______ soutient encore que plus aucune prestation n’est due, dans la mesure où T_______ a perçu de manière anticipée son capital-retraite de la Caisse A_______. A ses yeux, le plan de préretraite prévu était destiné à assurer le niveau de vie des employés antérieur à la résiliation des rapports de travail jusqu’au versement de la rente LPP. La Cour ne saurait suivre cet avis. Il résulte en effet clairement du texte du courrier du 27 août 1998 que les prestations de préretraite devaient être versées à T_______ non jusqu’au moment où il percevrait les prestations de la Caisse A_______, mais jusqu’à l’âge normal de la retraite. En effet, selon ce courrier, le versement anticipé de la rente LPP intervient le 1 er avril 2004, soit de manière anticipée d’une année par rapport au début de la rente LPP réglementaire, alors que T_______ n’atteint l’âge de la retraite normale que le 1 er avril 2007. Or, durant cette période, soit du 1 er avril 2004 au 1 er avril 2007, T_______ peut prétendre au « versement transitoire » ou « pont AVS » prévu au chiffre 2.3 de ce courrier. Ces modalités sont conformes à ce qui est prévu à l’art. 8.3 litt. b) chiffre 2 du plan social de E_______ 1998; cette disposition prévoit en effet, ce qui résulte également des schémas d’application annexés audit plan social, qu’un « versement transitoire 2 », correspondant au montant d’une rente AVS simple, est dû à l’employé dès qu’il perçoit, de manière anticipée, les prestations de la Caisse A_______ et jusqu’à ce qu’il atteigne l’âge normal de la retraite. Il en est d’ailleurs de même si l’on se réfère au même article du plan social de E1______ option 1995, applicable à l’ensemble des employés au sol du groupe. E_______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 1998 que dans le plan social de E2______ option 1996/2000. E_______ ne saurait enfin s’appuyer sur le texte du courrier adressé à toutes les préretraitées du groupe en novembre 2000, aux termes duquel E2______ les informe que le plan de préretraite est prolongé pour tenir compte de l’augmentation de l’âge de la retraite des femmes et qu’il sera tenu compte de toute prestation versée par l’AI ou une autre assurance : cette dernière condition – inexistante dans le courrier du 10 novembre 1998, dans ses annexes ou dans les plans sociaux E1______ 1995/1996 et SWC__ORT 1998, - ne peut être opposée à T_______, dont il n’est pas établi qu’il l’aurait reçu, d’une part, lequel n’y a pas consenti, d’autre part. Tout au plus le chiffre 5.1 du courrier du 27 août 1998 impose-t-il à l’employé l’obligation d’annoncer à l’employeur toute continuation d’une activité rémunérée lui rapportant un revenu qui, cumulé avec la prestation versée en application du plan social, serait supérieure à 100% du dernier salaire perçu, et réserve dans une telle hypothèse la possibilité, pour ce dernier, de « réduire » la prestation promise. Les engagements résultant du courrier de E_______ du 27 août 1998, et fondés sur le plan social E_______ 1998 et/ou E1______ 1996 ne sont dès lors pas caducs du simple fait que T_______ a perçu de manière anticipée son capital-retraite de la Caisse A_______.</w:t>
      </w:r>
    </w:p>
    <w:p>
      <w:r>
        <w:rPr>
          <w:b/>
        </w:rPr>
        <w:t>E. 7</w:t>
      </w:r>
    </w:p>
    <w:p>
      <w:r>
        <w:t>Il résulte de ce qui précède que E_______ est en demeure de verser à T_______ les prestations prévues, impayées et échues jusqu’à la date du présent arrêt, et qu’elle est débitrice des prestations à échoir jusqu’au terme de l’accord du 27 août 1998, soit jusqu’au 31 mars 2007. Conformément au dit courrier, ces prestations représentent : - fr. 3'417.90 par mois du 01.01.1999 au 31.12.2003 - fr. 3'000.- par mois du 01.01.2004 au 31.03.2004 - fr. 1'990.- par mois du 01.04.2004 au 31.03.2007. S’agissant de ce dernier poste, T_______ prétend devant la Cour recevoir mensuellement 2'110 fr., faisant valoir que le montant arrêté le 27 août 1998 doit être adapté à l’évolution de la rente AVS simple, laquelle représente actuellement 2'110 fr. mensuellement. Le plan social E1______1995, se contente de prévoir que le « versement transitoire 2 » correspond à la « rente AVS maximale simple » sans autre précision. Les modifications apportées par E1______ en avril 1996 (option 1996 dite « améliorée »), précisent que le montant de ladite rente est fixé « lors du départ et n’est plus modifiable par la suite ». Le plan social E_______ 1998 reprend quant à lui la formulation du plan social E1______ 1995, sans autre précision ou modification. Comme indiqué ci-dessus, les dispositions des plans sociaux E1______ 1995/ 1996 sont opposables à E_______. Ainsi, il doit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 1998, adopté ultérieurement, même si ce dernier ne reprend pas cette formulation. T_______ se prévaut, sur le sujet, du cas d’une employée de E2______ qui aurait bénéficié d’une adaptation d’une prestation en sa faveur à l’évolution de la rente AVS maximale simple. La pièce qu’il produit sur le sujet est toutefois insuffisante pour retenir que ladite adaptation est intervenue dans le cadre de l’application du plan social dont il se prévaut et qu’elle serait la règle pour tous les employés en bénéficiant. Les prestations échues au jour du prononcé du présent arrêt représentent dès lors : - fr. 3'417.90 par mois du 01.12.2001 au 31.12.2003 (25 x) = fr. 85'447.50 - fr. 3'000.- par mois du 01.01.2004 au 31 mars 2004 (3 x) = fr. 9'000.- - fr. 1'990.- par mois du 01.04.2004 au 31.08.2004 (5 x) = fr. 9'950.-, étant rappelé que, s’agissant d’un substitut de salaire, les mensualités sont échues à la fin du mois courant, soit au total fr. 104'397.50. Ce montant porte intérêts moratoires à 5% l’an dès le 15 avril 2003, date moyenne. Les prestations non échues représentent quant à elles fr. 1'990.- par mois du 1 er septembre 2004 au 31 mars 2007, ceci 12 fois l’an. Ces sommes s’entendent net, les cotisations AVS y relatives devant, aux termes du courrier du 27 août 1998, être supportées par T_______. 8.1. T_______ admet l’imputation, sur les rentes échues et à échoir, de la somme de 53'075 fr. 90 qu’il a perçue du SECO, au prorata, à dater du 20 octobre 2002. E_______ réclame l’imputation du montant sur celui des rentes échues en priorité. T_______ admet avoir reçu ce montant du SECO à fin octobre 2002. C’est le 20 octobre 2002 qu’il a cédé ses droits à la Confédération, admettant par là que sa créance était éteinte à due concurrence. L’imputation sur les créances qu’il fait valoir dans la présente procédure, admise dans son principe, doit dès lors se faire valeur au 20 octobre 2002. 8.2. E_______ réclame en outre l’imputation, sur les montants à verser, des prestations reçues par T_______ de la part de la Caisse A_______. Elle ne saurait être suivie. D’une part, la Caisse A_______ n’est pas venue se substituer à E_______ dans le versement des prestations qu’elle s’est engagée à servir, mais a versé à T_______ un capital en vertu d’une obligation différente, qui lui est propre. Son versement ne vient ainsi pas éteindre, à due concurrence, la dette de E_______. D’autre part, les plan sociaux E_______ 1999 et E2______ 1995 ou « Option 1996/2000 » ne prévoient pas l’imputation sur les prestations dues en vertu de ceux-ci des montants versés par une assurance : le courrier du 31 août 1998, quant à lui, réserve seulement la possibilité, pour E_______, de réduire la rente au cas où l’employé préretraité continuerait d’exercer une activité lucrative lui rapportant un salaire qui, cumulé avec les prestations du plan social, représenterait plus au 100% de son dernier salaire (chiffre 5.1), circonstance non réalisée en l’espèce. Enfin, ainsi qu’il a été vu ci-dessus, la lettre circulaire de E2______ du mois de novembre 2000 n’est pas opposable à T_______, en tant qu’elle prévoit une telle imputation. Cette solution s’impose encore pour un autre motif : En effet, T_______ aurait de toute manière pu prétendre au versement soit de son capital-retraite constitué auprès de la Caisse A_______, dès le 1 er avril 2004, date de sa retraite avancée. A ce moment-là, il aurait continué à percevoir, de la part de E_______, un montant de 1'990 fr., à titre de pont AVS. T_______ s’est vu imposer par la Caisse A_______ le statut de retraité au 1 er janvier 2002, 27 mois plus tôt que prévu. Or, même si les attestations d’assurance n’ont pas été produites, il doit être admis que s’il n’avait perçu ses prestations de retraite qu’au 1 er avril 2004, le capital auquel il aurait pu prétendre aurait été plus élevé. En effet, celui-ci a certes été calculé sur la base d’une durée complète de cotisations, puisque les cotisations employeur et employé ont été versées à la Caisse A_______ par un fonds spécial indépendant, constitué par E2______; toutefois, il n’a pas été tenu compte, dans ce calcul, des intérêts dont T_______ aurait pu bénéficier pendant la période du 1 er janvier 2002 au 1 er avril 2004. Les attestations d’assurances produites par d’autres préretraités du groupe (par exemple dans la cause C/11161/02-03), attestent d’ailleurs d’une telle réduction. Il résulte de ce qui précède que T_______ n’a pas été enrichi en raison du versement anticipé au 1 er janvier 2002 du capital-retraite de la Caisse A_______ en ses mains, mais qu’il a au contraire subi un préjudice de ce fait, son capital étant inférieur à celui qu’il aurait pu percevoir le 1 er avril 2004. La même constatation s’impose d’ailleurs, si T_______ avait choisi de recevoir une rente, en lieu et place du capital. D’une part, rien ne justifie, en la matière, de traiter de manière différenciée les anciens employés ayant choisi le versement de la rente et ceux ayant choisi le versement d’un capital, ou encore ceux ayant choisi le versement d’un capital partiel et d’une rente partielle. En outre, la rente à laquelle T_______ pouvait prétendre aurait subi, ainsi qu’il résulte du tableau figurant à l’art. 8.3.2.litt.b) 1) des plans sociaux E_______ 1989 et E1______ 1995, un abattement nettement plus important que celui accepté par T_______ et résultant du courrier du 28 août 1998. En effet, l’abattement sur la rente ne représente que 2% lorsque la retraite est avancée d’une année comme prévu aux termes du courrier du 27 août 1998, alors qu’il est déjà de 12% en cas d’avancement de la retraite de 24 mois. L’abattement doit ainsi encore être supérieur, en cas de retraite anticipée de 27 mois comme in casu . Or, cette réduction de rente, dont le principe est confirmé par des attestations d’assurances produites par d’autres employés dans les procédures parallèles dont l’apport a été ordonné, aurait été imposée à T_______ non seulement jusqu’à âge de la retraite, mais sa vie durant. Le dommage en résultant aurait été constitué par la capitalisation de la différence entre la rente perçue et la rente escomptée, sous imputation des rentes versées de manière anticipée. Toutefois, ce dommage n’est pas en relation de causalité adéquate avec la demeure de E_______, puisqu’il résulte d’une décision de la Caisse A_______, que celle-ci a prise non en raison de la demeure de E_______, mais de la procédure concordataire dont E2______ faisait l’objet; E_______ ne saurait ainsi réduire sa propre dette en raison de versements venant en imputation d’un dommage dont elle n’est pas tenue pour responsable. 8.3. C’est enfin le lieu de préciser que la dette de E_______ n’est amoindrie ni par la production de la créance de T_______ dans le concordat de E2______,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E_______, tendant à l’apport de pièces.</w:t>
      </w:r>
    </w:p>
    <w:p>
      <w:r>
        <w:rPr>
          <w:b/>
        </w:rPr>
        <w:t>E. 9</w:t>
      </w:r>
    </w:p>
    <w:p>
      <w:r>
        <w:t>T_______ réclame 20'000 fr. au titre des facilités de transport dont il s’estime privé.</w:t>
      </w:r>
    </w:p>
    <w:p>
      <w:r>
        <w:rPr>
          <w:b/>
        </w:rPr>
        <w:t>E. 9.1</w:t>
      </w:r>
    </w:p>
    <w:p>
      <w:r>
        <w:t>Les premiers juges ont déclaré irrecevables, parce qu’insuffisamment motivées, les conclusions de T_______ sur le sujet, en se fondant sur l’article 11 LJP et les dispositions de la loi de procédure civile (en particulier l’art. 7 LPC). T_______ ne motive pas expressément son appel sur ce point; il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Les conclusions prises en relation avec les facilités de transport étaient dès lors recevables devant le Tribunal, comme elles le sont devant la Cour.</w:t>
      </w:r>
    </w:p>
    <w:p>
      <w:r>
        <w:rPr>
          <w:b/>
        </w:rPr>
        <w:t>E. 9.2</w:t>
      </w:r>
    </w:p>
    <w:p>
      <w:r>
        <w:t>Le règlement relatif aux facilités de transport, adopté par E1______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E1______ et qu’aucune prétention ne peut être formulée sur la base du règlement (art. 7.1). Le règlement peut au surplus être modifié unilatéralement par E1______ en tout temps (art. 7.5). Ce règlement ne connaît qu’une seule catégorie de retraités (tableau A, p.29). Le règlement de 1996 a été remplacé par une nouvelle édition, de 1997, à l’en-tête de E2______. Celle-ci comporte des clauses identiques à la version de 1996, en particulier aux art. 2 et 7.2. L’art. 7.5. est complété par l’indication que le règlement ne fait pas partie intégrante du contrat de travail. Le tableau A, annexé (p. 29) distingue p’une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E2______,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 repris par E_______ après sa filialisation avec effet au 1 er janvier 1997, cette dernière, en sa qualité d’employeurs, de droit que celui-ci confère à l’employé. Sa légitimation passive doit, partant, être admise s’agissant des prétentions que T_______ fait valoir. Le Tribunal fédéral a sur le sujet relevé que l’art. 9 des plans sociaux, de même que l’art. 2.1 du règlement de 1966 conférait bien des « droits » aux bénéficiaires des facilités de transport, ce qui, lié à la notion de « règlement » impliquait une obligation à la charge de E2______. Cette notion venait en contradiction apparente avec l’art. 7.1 du règlement de 1996 de ce qui précède,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E2______ conservait le droit de modifier en tout temps les règlements sur les facilités de transport, sans toutefois pouvoir s’écarter de l’égalité de traitement entre les retraités et les bénéficiaires des plans sociaux 1993 et 1995 ( ibidem , consid. 7 c). A cela s’ajoute que les facilités de transport étaient offertes sur les vols de lignes E1______ et non sur ceux d’autres compagnies. Ce qui précède s’applique mutatis mutandis aux bénéficiaires du plan social E2______ « option 1996 à 2000 » et du plan social E_______ 1998; ceux-ci prévoient en effet de manière similaire aux plans sociaux adoptés en 1993 et 1995 que les licenciés au bénéfice du plan social bénéficient du statut de retraité, s’agissant des facilités des transports. La question ne s’arrête toutefois pas là. Ainsi que l’a relevé le Tribunal fédéral, le règlement sur les facilités de transport peut en effet en tout temps être modifié par E2______,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s’en plaindre. C’est dans ce sens que doit, en application du principe de la confiance, être compris le fait que les facilités « reposent sur le bon vouloir de E1______ (respectivement E2______); aucune prétention ne pouvant être formulée sur la base du règlement, lequel peut être modifié sans préavis». A cela s’ajoute qu’en raison du « grounding » des lignes aériennes E1______ – dont E_______ ne peut être tenue pour responsable, l’octroi de facilités de transport au sens du règlement susmentionné est devenu objectivement impossible pour E_______. Ce qui précède exclut toute possibilité de réclamer des dommages-intérêts en relation avec la perte de telles facilités (art. 119 al. 1 CO; THEVENOZ/WERRO, Comm. romand, no 6 ad art. 97 CO). A titre superfétatoire, la Cour relève que T_______ ne justifie nullement de la manière dont il a calculé le montant de 20'000 fr. qu’il réclame à ce titre, ni devant les premiers juges, ni devant la Cour. Ce nonobstant, T_______ peut prétendre à un traitement identique avec les retraités de E_______ (ATF du 5 janvier 1999, causes 4P.168/1998 et 4C.264/1998 ), dont il n’est pas exclu qu’ils puissent bénéficier, actuellement et à l’avenir, et cela même si E_______ a été racheté par H________, de telles facilités auprès de compagnies aériennes tierces. La Cour condamnera dès lors E_______ à le mettre au bénéfice des mêmes facilités de transport que ses retraités, ce qu’elle peut faire sans statuer ultra petita .</w:t>
      </w:r>
    </w:p>
    <w:p>
      <w:r>
        <w:rPr>
          <w:b/>
        </w:rPr>
        <w:t>E. 10</w:t>
      </w:r>
    </w:p>
    <w:p>
      <w:r>
        <w:t>Les appels de E_______ et de T_______ portaient respectivement sur des valeurs litigieuses de fr. 99'848.60 et de fr. 37'483.-. L’appel de T_______ est très largement fondé, alors que celui de E_______ ne l’est pas. Partant, l’émolument d’appel de fr. 400.- versé par E_______ restera acquis à l’Etat de Genève. Il se justifie par ailleurs de condamner E_______ à rembourser à T_______ l’émolument d’appel exposé par ses soins, soit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