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C/7644/2006 vom 20. März 2006</w:t>
      </w:r>
    </w:p>
    <w:p>
      <w:r>
        <w:t>GE Cour de justice, 2006-03-20, FR</w:t>
      </w:r>
    </w:p>
    <w:p>
      <w:r>
        <w:rPr>
          <w:b/>
        </w:rPr>
        <w:t xml:space="preserve">Quelle: </w:t>
      </w:r>
      <w:r>
        <w:t>https://mcp.opencaselaw.ch/entscheid/ge_gerichte_C_7644_2006</w:t>
      </w:r>
    </w:p>
    <w:p>
      <w:r>
        <w:t>FR: GE_GERICHTE C/7644/2006 du 20 mars 2006</w:t>
      </w:r>
    </w:p>
    <w:p>
      <w:r>
        <w:t>IT: GE_GERICHTE C/7644/2006 del 20 marzo 2006</w:t>
      </w:r>
    </w:p>
    <w:p>
      <w:pPr>
        <w:pStyle w:val="Heading2"/>
      </w:pPr>
      <w:r>
        <w:t>Regeste</w:t>
      </w:r>
    </w:p>
    <w:p>
      <w:r>
        <w:t>RELATIONS PERSONNELLES; EXPERTISE PSYCHIATRIQUE | CC.274.2</w:t>
      </w:r>
    </w:p>
    <w:p>
      <w:pPr>
        <w:pStyle w:val="Heading2"/>
      </w:pPr>
      <w:r>
        <w:t>Erwägungen</w:t>
      </w:r>
    </w:p>
    <w:p>
      <w:r>
        <w:rPr>
          <w:b/>
        </w:rPr>
        <w:t>E. 1.1</w:t>
      </w:r>
    </w:p>
    <w:p>
      <w:r>
        <w:t>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w:t>
      </w:r>
    </w:p>
    <w:p>
      <w:r>
        <w:rPr>
          <w:b/>
        </w:rPr>
        <w:t>E. 1.2</w:t>
      </w:r>
    </w:p>
    <w:p>
      <w:r>
        <w:t>La Chambre de surveillance revoit la cause en fait, en droit et en opportunité (art. 450a al. 1 CC).</w:t>
      </w:r>
    </w:p>
    <w:p>
      <w:r>
        <w:rPr>
          <w:b/>
        </w:rPr>
        <w:t>E. 2</w:t>
      </w:r>
    </w:p>
    <w:p>
      <w:r>
        <w:t>Le recourant a invoqué la violation de son droit d'être entendu. 2.1.1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2.1.2 En principe, il n'y a pas de débats devant la Chambre de surveillance de la Cour de justice, sauf en matière de placement à des fins d'assistance (art. 53 al. 5 LaCC).</w:t>
      </w:r>
    </w:p>
    <w:p>
      <w:r>
        <w:rPr>
          <w:b/>
        </w:rPr>
        <w:t>E. 2.2</w:t>
      </w:r>
    </w:p>
    <w:p>
      <w:r>
        <w:t>En l'espèce, le recourant n'a pas été privé de la possibilité de s'exprimer devant le Tribunal de protection, auquel il a fait connaître sa détermination écrite. Par ailleurs, la Chambre de céans dispose d'un plein pouvoir d'examen, de sorte que même s'il fallait admettre une violation du droit d'être entendu du recourant en première instance, celle-ci serait guérie en seconde instance, devant laquelle le recourant a pu faire valoir tous ses arguments. Le recours est par conséquent infondé sur ce point.</w:t>
      </w:r>
    </w:p>
    <w:p>
      <w:r>
        <w:rPr>
          <w:b/>
        </w:rPr>
        <w:t>E. 3</w:t>
      </w:r>
    </w:p>
    <w:p>
      <w:r>
        <w:t>Le recourant conteste la suspension de son droit de visite sur ses deux enfants âgés respectivement de 11 ans et de 10 ans.![endif]&gt;![if&gt; 3.1.1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3.1.3 L'autorité de protection établit les faits d'office. Elle procède à la recherche et à l'administration des preuves nécessaires. (…). Si nécessaire, elle ordonne un rapport d'expertise (art. 446 al. 1 et 2 CC, applicable par analogie, par renvoi de l'art. 314 al. 1 CC). 3.1.4 L'autorité de protection prend, d'office ou à la demande d'une personne partie à la procédure, toutes les mesures provisionnelles nécessaires pendant la durée de la procédure (art. 445 al. 1 CC).</w:t>
      </w:r>
    </w:p>
    <w:p>
      <w:r>
        <w:rPr>
          <w:b/>
        </w:rPr>
        <w:t>E. 3.2</w:t>
      </w:r>
    </w:p>
    <w:p>
      <w:r>
        <w:t>Il ressort en l'espèce du dossier que les enfants et plus particulièrement l'aînée, ont été exposés à la violence de leur père, lequel, même après la séparation, s'est à plusieurs reprises rendu par effraction dans l'ancien domicile conjugal et y a occasionné des dégâts. Le droit de visite dont le recourant a bénéficié n'a par ailleurs fonctionné de façon régulière et satisfaisante que durant quelques mois, soit de juillet 2011 à début février 2012. Hormis cette courte période, il a été chaotique, ne pouvant être organisé en raison du manque de coopération du recourant ou étant interrompu en raison de son hospitalisation ou de ses disparitions. De fait, le recourant n'a plus entretenu aucune relation personnelle avec ses enfants depuis le mois de février 2012. Il ressort en outre des déclarations faites par les enfants au Service de protection des mineurs qu'ils ont d'une part été confrontés aux bizarreries de leur père et à son inadéquation et qu'ils ont eu l'occasion de le voir en ville, par hasard, alors qu'il était dans un état psychique et physique inquiétant. Il est dès lors parfaitement compréhensible que cette situation ait engendré chez E______ et F______ une réaction de crainte à l'égard de leur père et une appréhension à l'idée que le droit de visite puisse être repris. Quand bien même le comportement du recourant ne peut lui être reproché à faute, puisqu'il semble être engendré par la maladie psychiatrique dont il souffre depuis de nombreuses années, il n'en demeure pas moins qu'il convient de préserver les enfants d'une relation qui pourrait, si elle devait se poursuivre comme par le passé, être néfaste pour leur bon développement. Compte tenu de ce qui précède et contrairement au souhait exprimé par le recourant, lequel ne semble pas être conscient de la souffrance de ses enfants et des difficultés que son comportement erratique engendre pour eux, le droit de visite ne saurait être repris pour l'instant. Il ressort toutefois du rapport du Service de protection des mineurs du 19 janvier 2015 que l'état de santé du recourant semble s'être amélioré, sans qu'il soit possible de déterminer dans quelle mesure. Il a été suivi un temps par le Docteur I______, puis par la Doctoresse H______ et à nouveau par le Docteur I______, lequel a établi un certificat médical le 9 février 2016 attestant d'une "bonne compliance" du recourant et du fait qu'il n'existait aucune contre-indication médicale à l'exercice d'un droit de visite. Ce certificat n'est toutefois pas suffisamment détaillé pour permettre à lui seul la reprise immédiate d'un droit de visite. Il permet néanmoins de s'interroger sur la nécessité de suspendre, sans limite dans le temps, tout contact entre le recourant et ses enfants et ne saurait être purement et simplement ignoré. Dans son rapport du 22 février 2010 déjà, puis à nouveau le 19 janvier 2015, le Service de protection des mineurs préconisait de soumettre A______ à une expertise psychiatrique, afin de déterminer si sa santé mentale lui permettait d'entretenir des relations personnelles avec ses enfants, dans l'intérêt de ceux-ci. Une telle expertise n'a toutefois jamais été ordonnée. Or, la suppression de tout droit de visite ne doit être envisagée que si elle constitue l'ultime moyen d'éviter que le bien de l'enfant ne soit mis en péril. Un refus des relations personnelles doit ainsi respecter les principes de subsidiarité et de proportionnalité et une telle décision ne doit être prise que sur la base d'un dossier complètement instruit, ce qui n'est pas le cas de la présente procédure. Il apparaît en effet nécessaire d'ordonner une expertise psychiatrique, laquelle devra notamment porter sur l'état de santé du recourant, son évolution prévisible, sa compliance aux soins et sa capacité à entretenir des relations personnelles avec ses enfants, qui ne soient pas nuisibles pour ces derniers. L'expert devra également se prononcer sur l'état des deux enfants et sur les effets que pourrait avoir sur eux la reprise des relations personnelles avec leur père. L'expert pourra enfin faire toutes recommandations utiles sur les précautions à prendre avant une éventuelle reprise du droit de visite et pendant l'exercice de celui-ci. Au vu de ce qui précède, la décision querellée sera annulée et la cause renvoyée au Tribunal de protection afin qu'il ordonne une expertise et rende une nouvelle décision.</w:t>
      </w:r>
    </w:p>
    <w:p>
      <w:r>
        <w:rPr>
          <w:b/>
        </w:rPr>
        <w:t>E. 3.3</w:t>
      </w:r>
    </w:p>
    <w:p>
      <w:r>
        <w:t>Au vu des éléments de danger qui ressortent du dossier, il se justifie cependant, sur mesures provisionnelles, de suspendre le droit de visite de A______ jusqu'au prononcé d'une nouvelle décision au fond, suite à l'exécution de la mesure d'instruction ordonnée.</w:t>
      </w:r>
    </w:p>
    <w:p>
      <w:r>
        <w:rPr>
          <w:b/>
        </w:rPr>
        <w:t>E. 4</w:t>
      </w:r>
    </w:p>
    <w:p>
      <w:r>
        <w:t>Les frais de la procédure, arrêtés à 400 fr., seront laissés à la charge de l'Etat vu l'issue de la procédure. L'avance versée par le recourant lui sera par conséquent restituée. ![endif]&gt;![if&gt; Il ne sera pas alloué de dépens, étant précisé que selon l'art. 107 al. 4 CPC, seuls les frais judiciaires et non les dépens peuvent être mis à la charge du canton. Compte tenu de la nature de la cause et de la situation financière de B______, qui bénéficie de l'assistance judiciaire, il ne se justifie pas de condamner celle-ci à des dépens (art. 107 al. 1 let. c et f CPC). * * * * * PAR CES MOTIFS, La Chambre de surveillance : A la forme : Déclare recevable le recours formé le 11 février 2016 par A______ contre l'ordonnance DTAE/8/2016 rendue le 23 décembre 2015 par le Tribunal de protection de l'adulte et de l'enfant dans la cause C/7644/2006-6. Sur mesures provisionnelles : Suspend le droit de visite de A______ sur ses enfants E______, née le ______ 2004 et F______, né le ______ 2006. Au fond : Annule la décision querellée et renvoie la cause au Tribunal de protection de l'adulte et de l'enfant pour suite d'instruction et nouvelle décision dans le sens des considérants. Sur les frais : Arrête les frais judiciaires de recours à 400 fr. et les laisse à la charge de l'Etat de Genève. Invite les Services financiers du Pouvoir judiciaire à restituer à A______ son avance de frais en 400 fr. Dit qu'il n'est pas alloué de dépens.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