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C/763/2020 vom 25. Juni 2021</w:t>
      </w:r>
    </w:p>
    <w:p>
      <w:r>
        <w:t>GE Cour de justice, 2021-06-25, FR</w:t>
      </w:r>
    </w:p>
    <w:p>
      <w:r>
        <w:rPr>
          <w:b/>
        </w:rPr>
        <w:t xml:space="preserve">Quelle: </w:t>
      </w:r>
      <w:r>
        <w:t>https://mcp.opencaselaw.ch/entscheid/ge_gerichte_C_763_2020</w:t>
      </w:r>
    </w:p>
    <w:p>
      <w:r>
        <w:t>FR: GE_GERICHTE C/763/2020 du 25 juin 2021</w:t>
      </w:r>
    </w:p>
    <w:p>
      <w:r>
        <w:t>IT: GE_GERICHTE C/763/2020 del 25 giugno 2021</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 montant de la contribution d'entretien en faveur de l'enfant, le litige est de nature pécuniaire. Le montant contesté, tel qu'il résulte de la procédure de première instance, une fois capitalisé conformément à l'art. 92 al. 1 et 2 CPC, est supérieur à 10'000 fr., de sorte que la voie de l'appel est ouverte.</w:t>
      </w:r>
    </w:p>
    <w:p>
      <w:r>
        <w:rPr>
          <w:b/>
        </w:rPr>
        <w:t>E. 1.2</w:t>
      </w:r>
    </w:p>
    <w:p>
      <w:r>
        <w:t>Interjetés dans le délai et selon la forme prescrits par la loi (art. 130, 131 et 311 al. 1 CPC), les appels sont recevables; il en va de même des réponses, répliques et dupliques (art. 312 al. 2 et 316 al. 2 CPC). Par souci de simplification et pour respecter le rôle initial des parties, A______ sera désignée en qualité d'appelante et B______ en qualité d'intimé.</w:t>
      </w:r>
    </w:p>
    <w:p>
      <w:r>
        <w:rPr>
          <w:b/>
        </w:rPr>
        <w:t>E. 1.3</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S'agissant des contributions d'entretien dues à un enfant mineur, les maximes inquisitoire illimitée (art. 55 al. 2 et 296 al. 1 CPC) et d'office (art. 58 al. 2 et 296 al. 3 CPC) régissent la procédure (arrêt du Tribunal fédéral 5A_788/2017 du 2 juillet 2018 consid. 4.2.1).</w:t>
      </w:r>
    </w:p>
    <w:p>
      <w:r>
        <w:rPr>
          <w:b/>
        </w:rPr>
        <w:t>E. 1.5</w:t>
      </w:r>
    </w:p>
    <w:p>
      <w:r>
        <w:t>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de la Convention concernant la compétence judiciaire, la reconnaissance et l'exécution des décisions en matière civile et commerciale, art. 48 al. 1 et 83 al. 1 LDIP).</w:t>
      </w:r>
    </w:p>
    <w:p>
      <w:r>
        <w:rPr>
          <w:b/>
        </w:rPr>
        <w:t>E. 2</w:t>
      </w:r>
    </w:p>
    <w:p>
      <w:r>
        <w:t>L'intimé sollicite que la Cour ordonne à l'appelante de produire la décision d'octroi de prestations de l'Hospice général, le détail de calcul des prestations fournies par ce dernier et la décision de subsides cantonaux 2021 pour elle-même et leur fils.</w:t>
      </w:r>
    </w:p>
    <w:p>
      <w:r>
        <w:rPr>
          <w:b/>
        </w:rPr>
        <w:t>E. 2.1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w:t>
      </w:r>
    </w:p>
    <w:p>
      <w:r>
        <w:rPr>
          <w:b/>
        </w:rPr>
        <w:t>E. 2.2</w:t>
      </w:r>
    </w:p>
    <w:p>
      <w:r>
        <w:t>En l'espèce, dans la mesure où l'intimé sollicite la production de documents relatifs à l'aide sociale perçue par l'appelante et qu'il n'y a pas lieu de prendre en considération ladite aide dans le calcul de la contribution d'entretien (cf. consid. 5.1.2 infra ), ces documents ne sont pas pertinents pour statuer sur le litige. S'agissant de la décision de subsides cantonaux 2021 pour l'assurance maladie, les pièces déjà produites sont suffisantes pour déterminer les primes d'assurance effectivement payées par l'appelante, de sorte que la Cour s'estime suffisamment renseignée pour statuer sur la contribution d'entretien en faveur de l'enfant D______. Il ne sera par conséquent pas donné suite à la conclusion préalable de l'intimé.</w:t>
      </w:r>
    </w:p>
    <w:p>
      <w:r>
        <w:rPr>
          <w:b/>
        </w:rPr>
        <w:t>E. 3</w:t>
      </w:r>
    </w:p>
    <w:p>
      <w:r>
        <w:t>Les parties ont allégué des faits nouveaux et ont produit de nouvelles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3.2</w:t>
      </w:r>
    </w:p>
    <w:p>
      <w:r>
        <w:t>En l'espèce, les pièces nouvelles produites par les parties, utiles pour examiner leur situation financière et fixer la contribution d'entretien en faveur d'un enfant mineur, sont recevables, ainsi que les allégués de fait s'y rapportant.</w:t>
      </w:r>
    </w:p>
    <w:p>
      <w:r>
        <w:rPr>
          <w:b/>
        </w:rPr>
        <w:t>E. 4</w:t>
      </w:r>
    </w:p>
    <w:p>
      <w:r>
        <w:t>Les parties contestent la contribution d'entretien telle que fixée par le premier juge. L'appelante fait grief également au Tribunal de ne pas avoir accordé d'effet rétroactif à la contribution d'entretien au mois de novembre 2019.</w:t>
      </w:r>
    </w:p>
    <w:p>
      <w:r>
        <w:rPr>
          <w:b/>
        </w:rPr>
        <w:t>E. 4.1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w:t>
      </w:r>
    </w:p>
    <w:p>
      <w:r>
        <w:rPr>
          <w:b/>
        </w:rPr>
        <w:t>E. 4.1.1</w:t>
      </w:r>
    </w:p>
    <w:p>
      <w:r>
        <w:t>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cf. arrêt précité consid. 7.1).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(cf. arrêt précité consid. 7.2 et 7.3). La répartition par " grandes et petites têtes ", soit par adultes et enfants mineurs, s'impose comme nouvelle règle, en tenant compte à ce stade de toutes les particularités du cas d'espèce, notamment la répartition de la prise en charge, le travail " surobligatoire " par rapport à la règle des paliers, de même que les besoins particuliers. La part d'épargne réalisée et prouvée doit être retranchée de l'excédent (cf. arrêt précité consid. 7.3).</w:t>
      </w:r>
    </w:p>
    <w:p>
      <w:r>
        <w:rPr>
          <w:b/>
        </w:rPr>
        <w:t>E. 4.1.2</w:t>
      </w:r>
    </w:p>
    <w:p>
      <w:r>
        <w:t>Pour fixer la contribution d'entretien, le juge doit en principe tenir compte du revenu effectif des parties (ATF 137 III 118 consid. 2.3). Il n'y a cependant pas lieu de tenir compte de l'aide qu'elles perçoivent de l'assistance publique. En effet, l'aide sociale est subsidiaire par rapport aux obligations d'entretien du droit de la famille. Les parties doivent en principe subvenir seules à leurs besoins vitaux. L'aide sociale, par nature subsidiaire, n'intervient qu'en cas de carence et elle est supprimée lorsque les parties peuvent assumer seules leurs dépenses incompressibles ( ACJC/605/2021 du 17 mai 2021 consid. 4.2.2; ACJC/1741/2019 du 19 novembre 2019 consid. 6.1.3; arrêts du Tribunal fédéral 5A_158/2010 du 25 mars 2010 consid. 3.2; 5A_170/207 du 27 juin 2007 consid. 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5A_621/2013 du 20 novembre 2014 consid. 3.3.1 non publié in ATF 141 III 53 ; 5A_259/2012 du 14 novembre 2012 consid. 4.1).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 ACJC/145/2021 du 2 février 2021 consid. 3.1.2; FamPra.ch 2008 p. 373 consid. 3.2.1).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méthodes de calcul, montant, durée et limites, in SJ 2007 II, p. 97, plus particulièrement la note de bas de page 113).</w:t>
      </w:r>
    </w:p>
    <w:p>
      <w:r>
        <w:rPr>
          <w:b/>
        </w:rPr>
        <w:t>E. 4.1.3</w:t>
      </w:r>
    </w:p>
    <w:p>
      <w:r>
        <w:t>Le juge peut également imputer aux parties un revenu hypothétique supérieur. Il s'agit d'inciter la personne à réaliser le revenu qu'elle est en mesure de se procurer et que l'on peut raisonnablement exiger d'elle qu'elle obtienne afin de remplir ses obligations (ATF 137 III 118 consid. 2.3; arrêt 5A_99/2011 du 26 septembre 2011 consid. 7.4.1, non publié aux ATF 137 III 604 ,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qu'il atteint l'âge de 16 ans révolus (ATF 144 III 481 consid. 4.7.6). Dans un arrêt récent, le Tribunal fédéral a considéré qu'il fallait toujours partir du principe que l'on pouvait raisonnablement s'attendre à ce que le conjoint travaille après le divorce, à condition que cette possibilité existe effectivement et qu'aucun motif tel que la garde de jeunes enfants n'y fasse obstacle, les circonstances concrètes de chaque cas étant déterminantes. Sont donc décisifs, notamment, des critères tels que l'âge, la santé, les activités antérieures, la flexibilité personnelle ou la situation du marché du travail (arrêt du Tribunal fédéral 5A_104/2018 du 2 février 2021 consid. 5.5).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La Cour de céans a déjà eu l'occasion de relever qu'il était notoire à Genève que le mode de rémunération des chauffeurs de taxis ne reflétait que le revenu imposable et non le revenu effectif, qui était plus élevé en raison des pourboires et des taxes de bagages ( ACJC/131/2015 du 6 février 2015 consid. 5.4.1; ACJC/451/2003 du 8 mai 2003 consid. 8).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 ACJC/1188/2018 du 31 août 2018 consid. 4.1.3; ACJC/1115/2013 du 13 septembre 2013 consid. 3.4.1; ACJC/313/2018 du 13 mars 2018 consid. 6.2.1; ACJC/1720/2016 du 21 décembre 2016 consid. 4.2.1; ACJC/ 131 /2015 du 6 février 2015 consid. 5.3.1; ACJC/298/2013 du 8 mars 2013 consid. 3.3; ACJC/604/2012 du 27 avril 2012 consid. 3.1.1; ACJC/578/2003 du 22 mai 2003 consid. 5).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w:t>
      </w:r>
    </w:p>
    <w:p>
      <w:r>
        <w:rPr>
          <w:b/>
        </w:rPr>
        <w:t>E. 4.2</w:t>
      </w:r>
    </w:p>
    <w:p>
      <w:r>
        <w:t>En l'espèce, il y a lieu de réexaminer les revenus et charges des parties en tenant compte des principes dégagés dans l'arrêt du Tribunal fédéral 5A_311/2019 susvisé.</w:t>
      </w:r>
    </w:p>
    <w:p>
      <w:r>
        <w:rPr>
          <w:b/>
        </w:rPr>
        <w:t>E. 4.2.1</w:t>
      </w:r>
    </w:p>
    <w:p>
      <w:r>
        <w:t>L'appelante est actuellement sans emploi et au bénéfice de l'aide sociale. Elle conteste le revenu hypothétique que lui a imputé le Tribunal compte tenu de ses recherches d'emploi infructueuses, de sa formation en français et de ses problèmes de santé. Il y a dès lors lieu de réexaminer si un revenu hypothétique peut lui être imputé et, cas échéant, à hauteur de quel montant. L'appelante est aujourd'hui âgée de 48 ans et est sans formation mais au bénéfice d'une expérience professionnelle de plusieurs mois, à temps plein et à temps partiel, en qualité de secrétaire au sein d'une organisation internationale. Elle a exercé cette activité alors qu'elle avait déjà la garde exclusive de son fils, âgé aujourd'hui de 7 ans, celui-ci étant scolarisé tous les jours, à l'exception du mercredi. Elle parle couramment l'anglais et a des notions de français. Nonobstant les troubles à la santé et le diagnostic mentionnés dans les certificats médicaux qu'elle a produits, aucune conclusion n'est tirée entre lesdits troubles et l'incapacité de travail relevée par le médecin ainsi que sa durée. La Cour ne peut ainsi pas se fonder sur lesdits certificats pour constater une incapacité de travail actuelle en lien avec l'état de santé de l'appelante. Par ailleurs, la date de l'opération chirurgicale que l'appelante devrait subir a été reportée et n'a, à ce jour, pas été fixée. Force est donc de constater que l'on peut raisonnablement s'attendre à ce que l'appelante retrouve un emploi prochainement dans le domaine du secrétariat, à mi-temps, compte tenu de l'âge de l'enfant D______. Ainsi, elle sera en mesure de s'occuper de son fils l'autre moitié du temps. Selon l'Office cantonal de la statistique de Genève, le salaire mensuel médian brut pour une femme s'élevait 6'933 fr. pour une employée de bureau, à temps plein, secteurs public et privé confondus, à 4'967 fr. pour une activité de services administratifs (sans activités liées à l'emploi) et à 5'305 fr. pour une activité de services administratifs et de soutien (cf. T 03.04.1.01-2018, T 03.04.1.02b-2018 et T 03.04.1.03-2018; OCSTAT; https://www.ge.ch/statistique/domaines/03/03_04/ tableaux.asp#18). Après déduction de 12% de charges sociales, les salaires médians précités s'élèvent à 6'101 fr., 4'371 fr. respectivement 4'668 fr., soit en moyenne 5'047 fr. nets par mois, soit 2'523 fr. pour une activité à mi-temps. Le revenu retenu par le Tribunal de 2'800 fr. nets par mois pour une activité de secrétaire à mi-temps apparaît donc excessif et doit être ramené, en chiffres arrondis, à 2'500 fr. Celui-ci est au demeurant conforme au salaire minimum genevois de 23 fr. bruts de l'heure (cf. art. 39K al.1 LIRT (RSGE J 1 05)). Le fait que le dernier salaire de l'appelante, pour un emploi de secrétaire de durée déterminée de quelques mois au sein d'une organisation internationale, ait été supérieur, ne permet pas encore de démontrer qu'un tel salaire lui serait proposé pour un contrat de durée indéterminée et en dehors d'une telle organisation. Il ne peut ainsi pas constituer une référence suffisamment solide pour imputer à l'appelante un revenu hypothétique supérieur à celui précité. S'agissant de la possibilité effective de trouver rapidement un emploi et de la situation actuelle du marché du travail, il ne ressort pas du dossier que la formation de français suivie par l'appelante résulte d'une demande effectuée par l'OCE ni, contrairement à ce qu'elle prétend, qu'elle fait suite à des refus d'emploi. Cette formation étant ainsi suivie sur une base volontaire, elle ne saurait constituer un frein à l'exigence de retrouver un emploi dans les meilleurs délais. N'ayant justifié que d'une douzaine de recherches d'emploi entre les mois de juin 2020 et mars 2021, pour des postes d'assistante administrative ou secrétaire, il convient de retenir que l'appelante n'a pas rendu vraisemblable avoir effectué les recherches sérieuses et actives que l'on pouvait attendre d'elle. Enfin contrairement à ce qu'elle allègue, il n'est pas rendu vraisemblable que le marché de l'emploi dans le domaine du secrétariat soit particulièrement touché par la situation sanitaire actuelle liée au COVID-19, de sorte qu'elle devrait être en mesure de retrouver un emploi rapidement en fournissant les efforts qui peuvent être attendus d'elle. Il lui sera dès lors imputé le revenu hypothétique précité avec effet immédiat, l'appelante ayant bénéficié d'un délai de plus d'un an depuis le dépôt de la requête en divorce et de plusieurs mois depuis le dépôt de l'appel. Dès que D______ aura atteint l'âge de 12 ans, l'appelante sera en mesure d'augmenter son taux d'activité à 80%, de sorte que ses revenus s'élèveront à 4'000 fr. nets par mois ([2'500 fr. x 80] / 50). Dès les 16 ans de l'enfant, elle sera en mesure d'augmenter encore son taux d'activité pour atteindre un temps plein et percevoir des revenus à hauteur de 5'000 fr. nets par mois.</w:t>
      </w:r>
    </w:p>
    <w:p>
      <w:r>
        <w:rPr>
          <w:b/>
        </w:rPr>
        <w:t>E. 4.2.2</w:t>
      </w:r>
    </w:p>
    <w:p>
      <w:r>
        <w:t>S'agissant des revenus de l'intimé, l'appelante estime qu'il est en mesure de percevoir de son activité d'indépendant un revenu mensuel net de 6'000 fr. au vu des quittances qu'elle a produites. Elle soutient également qu'il y a lieu de retenir un montant net de 421 fr. 05 par mois provenant de son activité salariée. L'intimé estime, quant à lui, qu'aucun montant ne devrait être pris en compte à ce titre puisqu'il exerce déjà à temps plein son activité indépendante de chauffeur de taxi et qu'il n'a pas été sollicité lors de la saison hivernale 2020/2021 par la société qui l'employait.</w:t>
      </w:r>
    </w:p>
    <w:p>
      <w:r>
        <w:rPr>
          <w:b/>
        </w:rPr>
        <w:t>E. 4.2.2.1</w:t>
      </w:r>
    </w:p>
    <w:p>
      <w:r>
        <w:t>En ce qui concerne l'activité indépendante de l'intimé, nonobstant la production, en appel, des originaux des quittances dont des copies avaient été produites en première instance, la lisibilité du nom, de la date ou encore du montant de la course sur ceux-ci n'est guère meilleure. En tout état, ces quittances ne permettent même pas de constater le chiffre d'affaires de l'intimé, lequel ne ressort que d'un résumé mensuel manuscrit et ne couvre pas les recettes de toute l'année. Or, afin d'arrêter le revenu mensuel net d'un indépendant, il y a lieu de se baser sur le bénéfice net dégagé, soit la différence entre le produit et les charges, de sorte que même si le chiffre d'affaires de l'intimé était entre janvier et juillet 2019 de plus de 50'000 fr., il ne serait pas possible de constater son revenu mensuel net ou encore une augmentation du chiffre d'affaires par rapport à 2018, l'année 2019 n'étant pas complète. L'appelante n'a ainsi ni démontré ni rendu vraisemblable que l'intimé serait en mesure de percevoir, de son activité indépendante de chauffeur de taxi, un revenu supérieur à celui retenu, à juste titre, par le Tribunal à hauteur de 4'000 fr. au vu de la jurisprudence précitée, et qui sera par conséquent confirmé. Au vu de la situation sanitaire ayant prévalu en 2020 dont on sait qu'elle a notoirement affecté le domaine d'activité dans lequel exerce l'intimé et l'impactera sans doute à l'avenir également, il ne se justifie pas de porter ce montant à 4'500 fr. comme l'a fait la Cour de céans à certaines reprises antérieurement à la pandémie.</w:t>
      </w:r>
    </w:p>
    <w:p>
      <w:r>
        <w:rPr>
          <w:b/>
        </w:rPr>
        <w:t>E. 4.2.2.2</w:t>
      </w:r>
    </w:p>
    <w:p>
      <w:r>
        <w:t>S'agissant de l'activité dépendante de l'intimé, exercée en 2019 en parallèle à son activité indépendante, il y a lieu d'en tenir compte dans la mesure où la situation sanitaire actuelle liée à la pandémie de COVID-19 n'est pas amenée à durer, que nonobstant le fait que la société n'aie pas eu recours aux services de l'intimé pour la saison hivernale 2020/2021, il ne peut être exclu qu'elle aura recours à ses services à l'avenir. Enfin, ayant déjà exercé à plus de 100% par le passé, il peut être raisonnablement exigé de lui qu'il continue, ce d'autant plus qu'il doit subvenir à l'entretien d'un enfant mineur. Cela étant, il ne se justifie pas de tenir compte d'un montant de 421 fr. 05 par mois, comme le soutient l'appelante, ce montant ayant été uniquement perçu durant un mois, en janvier 2020, mais bien de se référer, à l'instar de ce qu'a fait le premier juge, au revenu annuel 2018 mensualisé sur douze mois. Ainsi, le revenu provenant de l'activité dépendante de l'intimé arrêté à 155 fr. 60 sera confirmé. Il en va de même du revenu locatif de 62 fr. par mois, qui n'est pas contesté. Partant, les revenus totaux de l'intimé arrêtés par le Tribunal à 4'218 fr. nets par mois, en chiffres arrondis, seront confirmés.</w:t>
      </w:r>
    </w:p>
    <w:p>
      <w:r>
        <w:rPr>
          <w:b/>
        </w:rPr>
        <w:t>E. 4.2.3</w:t>
      </w:r>
    </w:p>
    <w:p>
      <w:r>
        <w:t>En ce qui concerne les charges de l'appelante, en particulier la prime d'assurance maladie, compte tenu du subside cantonal régulièrement perçu mais d'un montant variable, il y a lieu de retenir qu'elle bénéfice, à tout le moins, d'un allègement mensuel de 300 fr., de sorte que le montant qui reste à sa charge s'élève à 211 fr. 15 (511 fr. 15 – 300 fr.). Il y a ainsi lieu de rectifier le montant retenu par le Tribunal. Le concubinage allégué par l'intimé n'étant pas démontré, le montant de base OP de 1'350 fr. et la part de loyer de 888 fr. seront confirmés, étant encore rappelé qu'ils n'ont pas été contestés en tant que tels. S'agissant des autres charges alléguées par l'appelante, elles seront toutes écartées. En effet, les primes d'assurance maladie complémentaires, les frais médicaux non remboursés, les primes d'assurance RC/ménage, la redevance radio/TV, les frais de lessive, d'électricité, de téléphone et d'Internet et le remboursement mensuel d'une garantie locative sont, soit déjà inclus dans le montant de base OP, soit font partie du minimum vital du droit de la famille, lequel n'est pas pertinent en l'espèce compte tenu de la situation financière modeste de la famille. Partant, les charges de l'appelante seront arrêtées à 2'491 fr. 15 (1'350 fr. montant de base OP + 888 fr. de loyer + 42 fr. de frais de TPG + 211 fr. 15 de prime d'assurance maladie de base). Compte tenu du revenu hypothétique précité, l'appelante dispose d'un solde de 8 fr. 85 chaque mois (2'500 fr. – 2'491 fr. 15).</w:t>
      </w:r>
    </w:p>
    <w:p>
      <w:r>
        <w:rPr>
          <w:b/>
        </w:rPr>
        <w:t>E. 4.2.4</w:t>
      </w:r>
    </w:p>
    <w:p>
      <w:r>
        <w:t>En ce qui concerne les charges de l'intimé, ce dernier étant au bénéfice d'un subside cantonal de 300 fr. par mois pour la prime d'assurance maladie de base, la part non couverte de celle-ci s'élève à 174 fr. 95 (474 fr. 95 – 300 fr.). Il y a ainsi lieu de rectifier le montant retenu par le Tribunal. Compte tenu du fait que le minimum vital du droit des poursuites doit être appliqué, au vu de la situation financière des parties, il n'y a pas lieu de prendre en compte les remboursements mensuels de 368 fr. 50 pour l'emprunt contracté par l'intimé. En outre, à l'instar de ce qu'a retenu le premier juge, il n'est pas même rendu vraisemblable que cet emprunt ait été contracté dans l'intérêt de la famille, étant rappelé qu'il a été conclu uniquement au nom de l'intimé. Enfin, s'agissant des frais de leasing et de cotisations J______, comme relevé par le Tribunal, ces frais sont déjà pris en compte dans les comptes de pertes et profits de l'intimé, de sorte qu'il n'y a pas lieu de les comptabiliser une seconde fois dans ses charges. Partant, les charges de l'intimé s'élèvent à 1'974 fr. 95 et comprennent encore 1'200 fr. de montant de base OP et 600 fr. de loyer. Son solde disponible peut ainsi être arrêté à 2'243 fr. 05 par mois.</w:t>
      </w:r>
    </w:p>
    <w:p>
      <w:r>
        <w:rPr>
          <w:b/>
        </w:rPr>
        <w:t>E. 4.2.5</w:t>
      </w:r>
    </w:p>
    <w:p>
      <w:r>
        <w:t>Il y a maintenant lieu de déterminer les besoins de l'enfant.</w:t>
      </w:r>
    </w:p>
    <w:p>
      <w:r>
        <w:rPr>
          <w:b/>
        </w:rPr>
        <w:t>E. 4.2.5.1</w:t>
      </w:r>
    </w:p>
    <w:p>
      <w:r>
        <w:t>En ce qui concerne ses coûts directs, plus particulièrement la prime d'assurance maladie, à l'instar de ses parents, il est au bénéfice d'un subside cantonal d'un montant de 101 fr., de sorte que la part non couverte qui doit être incluse dans ses coûts directs s'élève à 14 fr. 25 (115 fr. 25 – 101 fr.). Il y a ainsi lieu de rectifier le montant retenu par le Tribunal. Concernant les frais des cuisines scolaires (108 fr.) et du parascolaire (192 fr.), dans la mesure où il a été précédemment retenu qu'il pouvait être raisonnablement exigé de l'appelante – détentrice exclusive de la garde de l'enfant – qu'elle exerce une activité lucrative à mi-temps, les frais précités doivent être pris en compte dans leur intégralité. En revanche, il ne se justifie pas de tenir compte des frais de garde par un tiers comme le prétend l'appelante. En effet, l'exercice d'un emploi à mi-temps est compatible avec une prise en charge personnelle de l'enfant par la mère le mercredi toute la journée. S'agissant des frais de football et des primes d'assurance maladie complémentaire, ceux-ci seront financés par la part d'excédent qui sera incluse dans la contribution d'entretien en faveur de l'enfant. En tout état, il n'y a pas lieu d'en tenir compte lors de l'application du minimum vital du droit des poursuites comme en l'espèce. Il y a en revanche encore lieu d'ajouter des frais médicaux non remboursés de 25 fr. 20 par mois, ceux-ci ayant été établis, ainsi que des frais de transport public à hauteur de 45 fr. par mois. Ainsi, les coûts directs de l'enfant s'élèvent, en chiffres arrondis, après déduction de 300 fr. d'allocations familiales, à 706 fr. et comportent encore 400 fr. de montant de base OP et 222 fr. de loyer (400 fr. de montant de base OP + 222 fr. de loyer + 14 fr. 25 de prime d'assurance maladie de base + 45 fr. de frais de TPG + 25 fr. 20 de frais médicaux non couverts + 108 fr. de cuisines scolaires + 192 fr. de parascolaire). Dès les 10 ans de l'enfant, le montant de base OP passant de 400 fr. à 600 fr., les coûts directs s'élèveront à 906 fr. par mois.</w:t>
      </w:r>
    </w:p>
    <w:p>
      <w:r>
        <w:rPr>
          <w:b/>
        </w:rPr>
        <w:t>E. 4.2.5.2</w:t>
      </w:r>
    </w:p>
    <w:p>
      <w:r>
        <w:t>L'appelante étant en mesure de couvrir ses frais de subsistance, il n'y a pas lieu d'inclure dans les besoins de l'enfant une contribution de prise en charge.</w:t>
      </w:r>
    </w:p>
    <w:p>
      <w:r>
        <w:rPr>
          <w:b/>
        </w:rPr>
        <w:t>E. 4.2.6</w:t>
      </w:r>
    </w:p>
    <w:p>
      <w:r>
        <w:t>Après paiement de toutes les dépenses de la famille, il reste encore un excédent de 1'454 fr. 45 (2'243 fr. 05 de solde disponible de l'intimé + 8 fr. 85 de solde disponible de l'appelante – 706 fr. 45 de coûts directs de l'enfant) jusqu'aux 10 ans de l'enfant, soit par souci de simplification, le 29 février 2024. Dès le 1 er mars 2024, l'excédent familial s'élèvera à 1'345 fr. 45 compte tenu de l'augmentation des coûts directs de l'enfant de 706 fr. à 906 fr. L'excédent précité doit être réparti entre les parents et l'enfant à raison d'un cinquième en faveur de ce dernier et de deux cinquièmes pour chacun des parents, de sorte que la participation de l'enfant à l'excédent familial s'élève à 309 fr., jusqu'au 29 février 2024, puis à 269 fr. dès le 1 er mars 2024. En résumé, les besoins de l'enfant s'élèvent ainsi, en chiffres arrondis, à 1'015 fr. jusqu'au 29 février 2024 (706 fr. de coûts directs + 309 fr. de part à l'excédent familial) puis à 1'175 fr. dès le 1 er mars 2024 (906 fr. de coûts directs + 269 fr. de part à l'excédent familial). A la lumière des éléments qui précèdent, le chiffre 6 sera réformé, sous réserve du dies a quo qui sera examiné ci-après (cf. consid. 6 infra ), dans le sens que l'intimé sera condamné à verser, en mains de l'appelante, par mois et d'avance, allocations familiales en sus, au titre de contribution à l'entretien de l'enfant D______, le montant de 1'015 fr. jusqu'au 29 février 2024 et 1'175 fr. dès 1 er mars 2024 et jusqu'à la majorité, voire au-delà en cas d'études sérieuses et régulières, jusqu'à l'achèvement de celles-ci. L'intimé disposant d'un solde suffisant pour couvrir les besoins de l'enfant, il n'est pas nécessaire de fixer l'entretien convenable dans le dispositif du présent arrêt, de sorte que le chiffre 7 du dispositif sera annulé. Enfin, s'agissant de la clause d'indexation prévue au chiffre 8 du dispositif du jugement entrepris, l'intimé, exerçant une activité indépendante, n'a pas de salaire pouvant être indexé, de sorte qu'il y a lieu d'annuler le chiffre 8 précité.</w:t>
      </w:r>
    </w:p>
    <w:p>
      <w:r>
        <w:rPr>
          <w:b/>
        </w:rPr>
        <w:t>E. 5</w:t>
      </w:r>
    </w:p>
    <w:p>
      <w:r>
        <w:t>Reste encore à déterminer le dies a quo de la contribution d'entretien nouvellement fixée. L'appelante sollicite un effet rétroactif au 1 er novembre 2019, soit la date à laquelle l'intimé a quitté le domicile conjugal et, par conséquent, à ce que soit arrêté le montant de l'arriéré accumulé par l'intimé.</w:t>
      </w:r>
    </w:p>
    <w:p>
      <w:r>
        <w:rPr>
          <w:b/>
        </w:rPr>
        <w:t>E. 5.1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 entrée en force partielle du jugement de divorce ", il faut entendre le jour du dépôt de la réponse de la partie intimée, avec ou sans appel incident, lorsque le principe du divorce n'est pas remis en cause (ATF 142 III 193 consid. 5.3; 141 III 376 consid. 3.3.4 s.; 132 III 401 consid. 2.2; 130 III 297 consid. 3.3.2). De manière générale, il n'est pas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 Entretien après divorce "; cf. dans ce sens Gloor/Spycher, in Basler Kommentar, Zivilgesetzbuch, vol. I, 5 ème éd. 2014, n. 4 in fine ad art. 126 CC; Pichonnaz, in Commentaire romand, Code civil, vol. I, 2010, n. 8 ad art. 126 CC).</w:t>
      </w:r>
    </w:p>
    <w:p>
      <w:r>
        <w:rPr>
          <w:b/>
        </w:rPr>
        <w:t>E. 5.2</w:t>
      </w:r>
    </w:p>
    <w:p>
      <w:r>
        <w:t>En l'espèce, aucune contribution d'entretien n'a été fixée sur mesures protectrices de l'union conjugale ou mesures provisionnelles. Depuis le départ de l'intimé du domicile conjugal le 1 er novembre 2019 et jusqu'au dépôt de la requête en divorce le 9 janvier 2020, l'intimé a contribué à l'entretien de son fils à hauteur de 600 fr. puis, pendant la procédure de divorce, il s'est engagé à verser 500 fr. par mois mais n'a que partiellement respecté son engagement puisqu'il aurait dû verser 6'000 fr. en 2020 et ne s'est acquitté que d'un montant de 5'800 fr. (4'200 fr. + [4 x 400 fr.]). Il a continué par ailleurs à verser le montant de 400 fr. par mois en 2021. Du côté de l'appelante, il n'est ni démontré ni rendu vraisemblable qu'elle a contracté les dettes qu'elle allègue auprès de proches pour subvenir à ses besoins et à ceux de l'enfant D______. De surcroît, elle ne produit aucune reconnaissance de dette à cet égard et il y a lieu de rappeler que l'appelante a perçu un salaire de plus de 5'000 fr. par mois durant plusieurs mois en 2020 et qu'elle a en outre été au bénéfice de l'aide sociale depuis le 1 er février 2020 déjà. Compte tenu de ce qui précède ainsi que de la crise sanitaire liée à la pandémie de COVID-19 ayant engendré une réduction temporaire de l'activité des taxis et donc de ses revenus, ainsi que du fait que l'intimé n'a pas pu exercer son activité dépendante lui procurant un revenu annexe, il y a lieu de fixer, en équité, le dies a quo de la contribution d'entretien en faveur de l'enfant à la date de l'entrée en force partielle du jugement de divorce, à savoir, par souci de simplification, au 1 er mars 2021. Enfin, dans la mesure où l'intimé a versé régulièrement le montant de 400 fr. par mois depuis le mois de septembre 2020 et que l'appelante n'allègue pas que celui-ci ait cessé ce paiement après le mois de mars 2021, la cause ayant été gardée à juger le 15 avril 2021, l'arriéré accumulé au jour du prononcé du présent arrêt s'élève à 2'460 fr. ([1'015 fr. – 400 fr.] x 4 mois). La Cour condamnera ainsi l'intimé à payer à l'appelante, au titre de contribution d'entretien en faveur de l'enfant D______ pour la période allant du 1 er mars au 30 juin 2021, le montant de 2'460 fr. Partant, le chiffre 6 du dispositif sera réformé dans le sens qui précède.</w:t>
      </w:r>
    </w:p>
    <w:p>
      <w:r>
        <w:rPr>
          <w:b/>
        </w:rPr>
        <w:t>E. 6</w:t>
      </w:r>
    </w:p>
    <w:p>
      <w:r>
        <w:t>L'appelante sollicite que l'intimé soit condamné à payer la moitié des frais extraordinaires non assurés, tels que les frais médicaux, de l'enfant D______.</w:t>
      </w:r>
    </w:p>
    <w:p>
      <w:r>
        <w:rPr>
          <w:b/>
        </w:rPr>
        <w:t>E. 6.1</w:t>
      </w:r>
    </w:p>
    <w:p>
      <w:r>
        <w:t>Selon l'art. 286 al. 3 CC, le juge peut contraindre les parents à verser une contribution spéciale lorsque des besoins extraordinaires imprévus de l'enfant le requièrent. Cette prise en charge doit être réglée à la lumière de frais spécifiques et non pas de manière générale et abstraite, à moins que cela ne fasse partie d'un accord entre les parties (arrêt du Tribunal fédéral 5A_57/2017 du 9 juin 2017 consid. 6.3). Dans la mesure où ces besoins particuliers sont connus au moment de la fixation de la contribution, ils doivent s'intégrer à la prestation fondée sur l'art. 285 al. 1 CC. Les cas typiques admis à ce titre sont les frais de corrections dentaires ainsi que ceux qui sont consécutifs à des mesures scolaires particulières et de nature provisoire (Perrin, Commentaire romand, Code civil I, 1 ère éd., 2010, n. 9 ad art. 286 CC).</w:t>
      </w:r>
    </w:p>
    <w:p>
      <w:r>
        <w:rPr>
          <w:b/>
        </w:rPr>
        <w:t>E. 6.2</w:t>
      </w:r>
    </w:p>
    <w:p>
      <w:r>
        <w:t>En l'espèce, l'appelante sollicite de manière générale que l'intimé soit condamné à participer à raison de la moitié pour les frais extraordinaires non assurés, tels que les frais médicaux, de l'enfant D______. Or, les frais médicaux non remboursés ont été intégrés dans la contribution d'entretien en faveur de l'enfant (cf. consid. 5.2.5.1 supra ). L'appelante n'allègue pas d'autres frais extraordinaires spécifiques et le Tribunal a, à juste titre, relevé qu'un parent ne pouvait être condamné à supporter des frais éventuels et hypothétiques, dont ni l'existence ni la quotité n'étaient établies. Par conséquent, ce grief sera rejeté.</w:t>
      </w:r>
    </w:p>
    <w:p>
      <w:r>
        <w:rPr>
          <w:b/>
        </w:rPr>
        <w:t>E. 7.1</w:t>
      </w:r>
    </w:p>
    <w:p>
      <w:r>
        <w:t>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queni la quotité ni la répartition des frais de première instance n'ont été remises en cause en appel, que ceux-ci ont été arrêtés conformément aux règles légales (art. 95, 96, 104 al. 1, 107 al. 1 let. c CPC; art. 5, 30 et 31 du Règlement fixant le tarif des greffes en matière civile, RTFMC - RS/GE E 1 05.10) et compte tenu de l'issue du litige, le jugement entrepris sera confirmé sur ce point.</w:t>
      </w:r>
    </w:p>
    <w:p>
      <w:r>
        <w:rPr>
          <w:b/>
        </w:rPr>
        <w:t>E. 7.2</w:t>
      </w:r>
    </w:p>
    <w:p>
      <w:r>
        <w:t>Les frais judiciaires des appels seront fixés au total à 1'600 fr. (art. 30 et 35 RTFMC). Aucune des parties n'ayant obtenu complètement gain de cause, il se justifie de répartir lesdits frais par moitié entre les parties (art. 106 al. 1 CPC). Celles-ci plaidant au bénéfice de l'assistance judiciaire, les frais seront provisoirement supportés par l'Etat, lequel pourra en réclamer le remboursement ultérieurement (art. 122 al. 1 let. b, 123 al. 1 CPC et 19 RAJ). Au vu de la nature du litige et de la qualité des parties, chacune supportera ses propres dépens d'appel (art. 107 al. 1 let. c CPC). * * * * * PAR CES MOTIFS, La Chambre civile : A la forme : Déclare recevable l'appel interjeté par A______ contre le jugement JTPI/15068/2020 rendu le 3 décembre 2020 par le Tribunal de première instance dans la cause C/763/2020. Déclare recevable l'appel interjeté par B______ contre ce jugement. Au fond : Annule les chiffres 6 à 8 du dispositif du jugement entrepris. Cela fait et statuant à nouveau sur ces points : Condamne B______ à verser en mains de A______, allocations familiales en sus, au titre de contribution d'entretien en faveur de l'enfant D______ pour la période du 1 er mars au 30 juin 2021, le montant de 2'460 fr. Condamne B______ à verser en mains de A______, par mois et d'avance, allocations familiales en sus, au titre de contribution d'entretien en faveur de l'enfant D______, le montant de 1'015 fr. du 1 er juillet 2021 au 29 février 2024, puis de 1'175 fr. dès le 1 er mars 2024 et jusqu'à la majorité de l'enfant, voire au-delà en cas d'études sérieuses et régulières, jusqu'à l'achèvement de celles-ci. Confirme le jugement entrepris pour le surplus. Déboute les parties de toutes autres conclusions. Sur les frais : Arrête les frais judiciaires des appels à 1'600 fr. et les met à la charge de B______ et A______ par moitié entre eux. Dit que ces frais seront provisoirement supportés par l'Etat de Genève, compte tenu du bénéfice de l'assistance judiciaire. Dit que chaque partie supporte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