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C/7436/2018 vom 8. März 2021</w:t>
      </w:r>
    </w:p>
    <w:p>
      <w:r>
        <w:t>GE Cour de justice, 2021-03-08, FR</w:t>
      </w:r>
    </w:p>
    <w:p>
      <w:r>
        <w:rPr>
          <w:b/>
        </w:rPr>
        <w:t xml:space="preserve">Quelle: </w:t>
      </w:r>
      <w:r>
        <w:t>https://mcp.opencaselaw.ch/entscheid/ge_gerichte_C_7436_2018</w:t>
      </w:r>
    </w:p>
    <w:p>
      <w:r>
        <w:t>FR: GE_GERICHTE C/7436/2018 du 8 mars 2021</w:t>
      </w:r>
    </w:p>
    <w:p>
      <w:r>
        <w:t>IT: GE_GERICHTE C/7436/2018 del 8 marzo 2021</w:t>
      </w:r>
    </w:p>
    <w:p>
      <w:pPr>
        <w:pStyle w:val="Heading2"/>
      </w:pPr>
      <w:r>
        <w:t>Erwägungen</w:t>
      </w:r>
    </w:p>
    <w:p>
      <w:r>
        <w:rPr>
          <w:b/>
        </w:rPr>
        <w:t>E. 1</w:t>
      </w:r>
    </w:p>
    <w:p>
      <w:r>
        <w:t>.1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le montant annuel cumulé des loyers, hors charges, des trois logements s'élève à 40'980 fr. La valeur litigieuse est supérieure à 10'000 fr. (40'980 fr. x 3 ans = 122'940 fr.). La voie de l'appel est donc ouverte.</w:t>
      </w:r>
    </w:p>
    <w:p>
      <w:r>
        <w:rPr>
          <w:b/>
        </w:rPr>
        <w:t>E. 1.2</w:t>
      </w:r>
    </w:p>
    <w:p>
      <w:r>
        <w:t>Interjeté dans le délai prescrit et selon la forme requise par la loi, l'appel est recevable (art. 130, 131, 145 al. 1 let. b,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Il convient d'examiner si le motif du congé est contraire à la bonne foi tel que soutenu par l'appelante dans son appel.</w:t>
      </w:r>
    </w:p>
    <w:p>
      <w:r>
        <w:rPr>
          <w:b/>
        </w:rPr>
        <w:t>E. 2.1</w:t>
      </w:r>
    </w:p>
    <w:p>
      <w:r>
        <w:t>2.1.1 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libre de résilier le bail, notamment, dans le but d'adapter la manière d'exploiter son bien selon ce qu'il juge le plus conforme à ses intérêts (ATF 136 III 190 consid. 3 p. 193), pour effectuer des travaux de transformation, de rénovation ou d'assainissement (ATF 142 III 91 consid. 3.2.2 et 3.2.3; 140 III 496 consid. 4.1), pour des motifs économiques (arrêts du Tribunal fédéral 4A_19/2016 précité consid. 4.2; 4A_475/2015 du 19 mai 2016 consid. 4.1 et 4.3; 4A_293/2016 du 13 décembre 2016 consid. 5.2.1 et 5.2.3; ATF 120 II 105 consid. 3b/bb) ou encore pour utiliser les locaux lui-même ou pour ses proches parents ou alliés (arrêts du Tribunal fédéral 4A_198/2016 du 7 octobre 2016 consid. 4.3 et 4.5; 4A_18/2016 du 26 août 2016 consid. 3.3 et 4).</w:t>
      </w:r>
    </w:p>
    <w:p>
      <w:r>
        <w:rPr>
          <w:b/>
        </w:rPr>
        <w:t>E. 2.1.2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précité consid. 3.2; 4A_484/2012 précité consid. 2.3.1 et les arrêts cités).</w:t>
      </w:r>
    </w:p>
    <w:p>
      <w:r>
        <w:rPr>
          <w:b/>
        </w:rPr>
        <w:t>E. 2.1.3</w:t>
      </w:r>
    </w:p>
    <w:p>
      <w:r>
        <w:t>Pour pouvoir examiner si le congé ordinaire contrevient ou non aux règles de la bonne foi (art. 271 et 271a CO), il faut déterminer quel est le motif de congé invoqué par le bailleur dans l'avis de résiliation (pour le cas où l'avis de résiliation n'est pas motivé, cf. l'arrêt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(arrêt du Tribunal fédéral 4A_198/2016 du 7 octobre 2016 consid. 4.4.1).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w:t>
      </w:r>
    </w:p>
    <w:p>
      <w:r>
        <w:rPr>
          <w:b/>
        </w:rPr>
        <w:t>E. 2.1.4</w:t>
      </w:r>
    </w:p>
    <w:p>
      <w:r>
        <w:t>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S'il est établi que les parties ne sont pas d'accord sur le sens à donner à l'avis formel de résiliation, il y a lieu de l'interpréter selon le principe de la confiance (arrêt du Tribunal fédéral 4A_196/2016 du 24 octobre 2016 consid. 3.1.2; ATF 121 III 6 consid. 3c). Pour déterminer le sens et la portée du motif invoqué, il faut se placer au moment où le congé a été notifié (ATF 140 III 496 consid. 4.1 p. 497; 138 III 59 consid. 2.1 p. 62; arrêts du Tribunal fédéral 4A_735/2011 du 16 janvier 2012 consid. 2.2; 4A_198/2016 du 7 octobre 2016 consid. 4.4.1).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p. 62; arrêt du Tribunal fédéral 4A_200/2017 du 29 août 2017 consid. 3.2.1). Des précisions sur le motif de congé indiqué dans l'avis de résiliation peuvent toujours être apportées en complément au cours de la procédure judiciaire (ATF 138 III 59 consid. 2.3; arrêt du Tribunal fédéral 4A_200/2017 du 29 août 2017 consid. 3.2.2). Le bailleur est toutefois lié par le motif de résiliation qu'il a indiqué à l'appui de sa résiliation et il ne peut pas lui substituer par la suite un autre motif qui lui serait plus favorable (arrêt du Tribunal fédéral 4A_347/2017 du 21 décembre 2017 consid. 5.2.1).</w:t>
      </w:r>
    </w:p>
    <w:p>
      <w:r>
        <w:rPr>
          <w:b/>
        </w:rPr>
        <w:t>E. 2.2</w:t>
      </w:r>
    </w:p>
    <w:p>
      <w:r>
        <w:t>2.2.1 En vertu de l'art. 271 al. 1 CO, le congé est annulable lorsqu'il contrevient aux règles de la bonne foi. L'art. 271a CO énonce des exemples de motifs de résiliation contraires à la bonne foi. Tel est notamment le cas du congé donné parce que le locataire fait valoir de bonne foi des prétentions découlant du bail (art. 271a al. 1 let. a CO). Ces prétentions comprennent entre autres le droit de sous-louer la chose louée, fondé sur l'art. 262 CO (ATF 138 III 59 consid. 2.2.1). Selon l'art. 262 CO, le locataire peut sous-louer tout ou partie de la chose avec le consentement du bailleur (al. 1). Le bailleur ne peut refuser son consentement que dans trois cas (al. 2) : si le locataire refuse de lui communiquer les conditions de la sous-location (let. a); si les conditions de la sous-location, comparées à celle du contrat de bail principal, sont abusives (let. b); et enfin, si la sous-location présente pour le bailleur des inconvénients majeurs (let. c). Un arrêt récent fait une synthèse de la jurisprudence relative au droit de congédier le locataire en raison d'une sous-location (arrêt du Tribunal fédéral 4A_290/2015 du 9 septembre 2015). Lorsque le locataire sous-loue totalement ou partiellement la chose louée sans autorisation, le bailleur peut valablement donner un congé ordinaire s'il s'avère qu'il était en droit de refuser son consentement, c'est-à-dire si l'une ou l'autre des conditions prévues à l'art. 262 al. 2 CO est réalisée. La résiliation est également valable si le simple fait de ne pas avoir requis le consentement préalable du bailleur est de nature à anéantir le lien de confiance entre les deux parties. A ces cas s'ajoute encore l'interdiction générale de l'abus de droit au sens de l'art. 2 al. 2 CC : en effet, le locataire qui abuse de son droit à la sous-location ne saurait être protégé. Il faut alors raisonner comme si son droit n'existait pas (arrêt précité consid. 4.3.1, 4.4.1 in fine et 4.4.2). Selon la jurisprudence, la sous-location est en soi conçue pour le locataire qui n'a temporairement plus l'usage de la chose louée - par exemple en raison d'un stage professionnel ou d'études dans un autre lieu - et qui le cède provisoirement à un tiers pour se décharger du fardeau économique que constitue le loyer; est aussi envisageable le cas d'un appartement devenu trop grand à la suite du décès ou du départ d'un membre de la famille, et qui est sous-loué à un tiers pour partie seulement. Sous réserve de conventions contraires, le droit à la sous-location n'existe que si le locataire a l'intention de réutiliser lui-même la chose louée dans un avenir prévisible. En revanche, s'il a perdu toute idée de reprendre un jour l'usage de la chose louée et qu'il a procédé en réalité à une substitution de locataire par la voie détournée de la sous-location, il y a abus de droit. Le juge doit se montrer relativement strict dans l'examen de l'intention du locataire de réintégrer les locaux loués, celle-ci devant résulter d'un besoin légitime et clairement perceptible. La vague possibilité de réintégrer un jour l'objet loué ne suffit pas à justifier une sous-location (ATF 138 III 59 consid. 2.2.1 p. 63; 134 III 446 consid. 2.4; arrêts du Tribunal fédéral 4A_367/2010 du 4 octobre 2010 consid. 2.1, in CdB 2011 p. 15; 4A_556/2015 du 3 mai 2016 consid. 3.2).</w:t>
      </w:r>
    </w:p>
    <w:p>
      <w:r>
        <w:rPr>
          <w:b/>
        </w:rPr>
        <w:t>E. 2.2.2</w:t>
      </w:r>
    </w:p>
    <w:p>
      <w:r>
        <w:t>En doctrine, la question de savoir si le sous-bailleur peut ou non tirer profit de la sous-location, respectivement dans quelle mesure, est controversée, et le Tribunal fédéral a laissé la question ouverte (ATF 119 II 353 consid. 6e). Selon certains auteurs, le léger bénéfice que le locataire principal peut retirer de la sous-location correspond au risque que supporte le capital exposé de 3% au maximum (HEINRICH, Die Untermiete, 1999, p. 108; Le droit suisse du bail à loyer - Commentaire SVIT, adaptation française de BURKHALTER/MARTINEZ-FAVRE, 2011, n. 17 ad art. 262 CO; cf. arrêt du Tribunal fédéral 4C.331/2004 du 17 mars 2005 consid. 1.2.2). Le sous-bailleur peut prétendre à une rémunération pour les prestations supplémentaires fournies au sous-locataire, par exemple le mobilier, ainsi que les charges qu'il supporte (ATF 119 II 353 consid. 6; arrêt du Tribunal fédéral 4A_518/2014 du 19 novembre 2014 consid. 3). Selon la jurisprudence de la Cour,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 ACJC/232/2014 du 24 février 2014 consid. 3.3 et ACJC/54/1997 du 13 janvier 1997 consid. 4; ACJC/1348/2015 du 9 novembre 2015 consid. 2.2) et une majoration de 20% par rapport au loyer principal n'est pas abusive lorsque l'appartement est bien meublé ( ACJC/249/1992 du 9 octobre 1992; ACJC/1779/2020 du 14 décembre 2020 consid. 2.2.1). En toute hypothèse, le sous-bailleur qui ne fournit pas de prestations pouvant justifier de tels écarts, ne peut pas prétendre, à l'occasion d'une sous-location, de le majorer de 30 à 40% (ATF 119 II 353 consid. 6f) ni même de 10% (CdB 1996 p 94), de tels écarts étant considérés comme abusifs (LACHAT/LACHAT, Le bail à loyer, éd. 2019, chapitre 25 ch. 4.3).</w:t>
      </w:r>
    </w:p>
    <w:p>
      <w:r>
        <w:rPr>
          <w:b/>
        </w:rPr>
        <w:t>E. 2.3</w:t>
      </w:r>
    </w:p>
    <w:p>
      <w:r>
        <w:t>En l'espèce,l'appelante reproche aux premiers juges d'avoir admis que le motif du congé consistait dans le produit disproportionné des sous-locations par rapport aux loyers de base. Selon elle, ce motif était mensonger, puisqu'il avait été donné par la régie sans consultation préalable de sa mandante, et contradictoire avec le second motif évoqué par C______ lors de son audition, à savoir ne plus avoir d'intermédiaires. Il n'est pas contesté par l'appelante que le produit des sous-locations tiré des trois logements loués à l'intimée dépasse les pourcentages admissibles fixés par la jurisprudence lorsque le logement sous-loué bénéfice, comme en l'espèce, de prestations supplémentaires (mobilier, équipement et autres prestations). Les pourcentages d'augmentation admis (62,3% - appartement n° 1______ ; 33,3% - appartement n° 3______ ; 73,7% - appartement n° 2______) pouvaient donc conduire le Tribunal à retenir que les sous-locations pratiquées étaient bien abusives et que le motif indiqué par la régie dans son courrier du 15 mars 2018, répondant à la demande de motivation de l'appelante, était avéré. La recourante reproche aux premiers juges d'avoir admis la véracité de ce motif alors même que l'appelante n'avait pas été consultée avant l'envoi du courrier du 15 mars 2018 et que celle-ci n'avait jamais sollicité de renseignements sur le montant des sous-loyers qu'elle avait appris lors de l'audience du 1 er mars 2019. Or, C______ a déclaré lors de son audition par le Tribunal que si, dans un premier temps et avant l'acquisition de l'immeuble, il ne s'était attaché qu'à l'état locatif sans analyse plus détaillée de la qualité des locataires et de leur profil, un point de situation avait été opéré à ce propos après l'acquisition de l'immeuble; l'état locatif avait été analysé de plus près avec la régie et il avait constaté que certains appartements étaient loués à des sociétés, à des fins commerciales et lucratives. La décision avait été prise avec la régie de résilier les baux; il avait appris peu avant les résiliations que l'appelante avait pour but la sous-location. La motivation fournie par la régie le 15 mars 2018 ne fait que retranscrire la volonté de la bailleresse de mettre un terme à des sous-locations disproportionnées quant au profit retiré. Ce constat s'est révélé exact puisque l'instruction de la cause et la production des contrats de sous-location ont établi le caractère abusif des sous-loyers demandés. L'appelante ne saurait non plus tirer argument du fait que l'intimée, au moment de la consultation de l'état locatif remis avant la vente, ait reporté après celle-ci l'examen minutieux de l'identité des locataires et de leur profil. La décision d'acquérir, puis celle ultérieure d'adapter la manière d'exploiter son bien selon ce qu'elle juge le plus conforme à ses intérêts en procédant à la résiliation de baux d'appartements commercialisés par le biais de sous-locations abusives n'est le signe ni d'un comportement abusif, ni d'une attitude contradictoire de l'intimée. S'agissant enfin des déclarations de C______ lors de l'audience, la justification donnée aux congés et consistant désormais à ne plus avoir d'intermédiaires et à louer les appartements directement à leurs occupants revient à compléter le motif de congé donné par la régie. La maîtrise voulue par l'intimée de l'identité des occupants de l'immeuble et du prix des locations n'était pas garantie en raison des sous-locations abusives existantes. Mettre un terme à une pratique de sous-loyers abusifs et retrouver la mainmise sur les loyers et l'identité des occupants des logements de l'immeuble constitue finalement un tout, le but poursuivi par la bailleresse étant de sanctionner les effets indésirables de ces sous-locations. La motivation complémentaire apportée par le représentant de l'intimée ne peut donc être considéré comme un autre motif distinct dont elle se serait prévalue pour se trouver dans une situation plus favorable, comme le soutient à tort l'appelante. Les premiers juges ont également retenu à juste titre qu'il relevait de la liberté contractuelle de l'intimée de modifier une situation existant depuis plusieurs années qui ne lui convenait plus en notifiant les congés pour leur plus proche échéance contractuelle.</w:t>
      </w:r>
    </w:p>
    <w:p>
      <w:r>
        <w:rPr>
          <w:b/>
        </w:rPr>
        <w:t>E. 3</w:t>
      </w:r>
    </w:p>
    <w:p>
      <w:r>
        <w:t>L'appelante fait grief aux premiers juges d'avoir retenu que les baux résiliés étaient soumis aux dispositions régissant les baux d'habitation et non à celles relatives aux baux commerciaux, et d'avoir écarté leurs conclusions visant à obtenir une pleine prolongation de bail de six ans.</w:t>
      </w:r>
    </w:p>
    <w:p>
      <w:r>
        <w:rPr>
          <w:b/>
        </w:rPr>
        <w:t>E. 3.1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La durée maximale de la prolongation est de quatre ans pour les baux d'habitation et de six ans pour les baux commerciaux; dans cette limite, le juge peut accorder une ou deux prolongations (art. 272b al. 1 CO). Lorsqu'il doit se prononcer sur l'octroi d'une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4C_425/2004 du 9 mars 2005 consid. 3.4, SJ 2005 I p. 397). 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4A_198/2016 du 7 octobre 2016 consid. 5.1; 4A_105/2009 précité consid. 3.2; 4A_386/2014 précité consid. 4.3.1; ACJC/1384/2020 du 5 octobre 2020 consid. 4.1). Le besoin du bailleur doit être sérieux, concret et actuel (LACHAT, op. cit. , ch. 3.9).</w:t>
      </w:r>
    </w:p>
    <w:p>
      <w:r>
        <w:rPr>
          <w:b/>
        </w:rPr>
        <w:t>E. 3.2</w:t>
      </w:r>
    </w:p>
    <w:p>
      <w:r>
        <w:t>L'application des règles régissant les baux commerciaux peut d'emblée être écartée. Les baux principaux, tout comme les contrats de sous-location conclus par l'appelante avec ses sous-locataires, stipulent expressément que les logements sont destinés à l'habitation privée et les contrats renvoient aux conditions générales et usages locatifs applicables à des appartements. Par habitation, il faut comprendre les locaux qui sont loués pour y habiter, autrement dit pour y exécuter les actes essentiels de la vie privée et y conserver ses objets personnels (cf. à ce propos MONTINI, Droit du bail à loyer et à ferme, 2 ème éd., 2017, ad art. 266b-266f CO n. 14). L'appelante ne soutient pas que les logements auraient été loués à d'autres fins que celles de l'habitation des sous-locataires; il n'est en tous les cas pas établi que ces derniers y aient exploité une activité commerciale. Les trois logements n'abritent pas non plus les bureaux de l'appelante et cette dernière ne soutient pas les avoir exploités pour y déployer une activité professionnelle. Le fait que le but social poursuivi par l'appelante est la sous-location d'appartements meublés n'a aucune incidence sur la typicité des logements loués : seul l'usage effectif qui en est fait par les occupants détermine si le local est utilisé pour y habiter ou pour y exploiter une activité commerciale. Or, les trois logements ont servi à l'habitation dans son acception classique, ce qui exclut que leur soient appliquées les règles régissant les locaux commerciaux. La prolongation maximale à laquelle l'appelante peut prétendre est de quatre ans comme retenu à bon droit par le Tribunal.</w:t>
      </w:r>
    </w:p>
    <w:p>
      <w:r>
        <w:rPr>
          <w:b/>
        </w:rPr>
        <w:t>E. 3.3</w:t>
      </w:r>
    </w:p>
    <w:p>
      <w:r>
        <w:t>Reste donc à déterminer si les premiers juges ont à juste titre refusé toute prolongation de bail à l'appelante. Comme unique argument, l'appelante relève son intérêt économique à poursuivre, pendant 6 ans, les sous-locations pratiquées, dont les revenus sont le coeur de son activité. Elle ne saurait toutefois être suivie sur ce point. Si l'appelante dispose d'un intérêt économique au maintien de la situation actuelle, l'abus constaté dans les sous-loyers réclamés n'est, comme retenu par les premiers juges, pas digne de protection, quelle que soit l'ancienneté des baux. L'appelante n'a pas non plus démontré avoir réduit ou proposé de réduire le montant des sous-loyers à un montant admissible et revendique, au contraire, la possibilité de maintenir le statu quo et la perception de sous-loyers abusifs. Il existe donc un intérêt prépondérant de la bailleresse à retrouver la maîtrise des loyers pratiqués et une certaine urgence à mettre un terme aux abus constatés dans la fixation des loyers. Il est en outre de jurisprudence constante que le besoin des sous-locataires ne peut être pris en considération au titre des conséquences pénibles subies par le locataire principal. L'appelante n'occupant pas personnellement les logements litigieux, elle ne peut donc pas se prévaloir d'un intérêt propre à la prolongation des baux. Enfin, bien qu'elle semble déduire des congés une mise en danger du coeur de son activité, l'appelante n'a pas produit le moindre état financier permettant d'attester que la restitution des trois appartements litigieux mettrait en péril sa situation financière ou la péjorerait de façon notable. Au contraire, l'absence de la moindre recherche de nouveaux logements pour mener à bien son but social et le fait que les congés ont été notifiés au mois de février 2018 avec un large préavis de résiliation, sont autant d'éléments que les premiers juges ont pris en compte à juste titre en défaveur de l'appelante. Au vu de l'ensemble des circonstances susmentionnées, le refus du Tribunal d'accorder la moindre prolongation de bail à l'appelante ne prête pas le flanc à la critique, étant encore précisé que depuis la notification du congé, l'appelante a disposé d'une prolongation de bail de fait de plus de deux ans par le simple écoulement du temps de la procédure.</w:t>
      </w:r>
    </w:p>
    <w:p>
      <w:r>
        <w:rPr>
          <w:b/>
        </w:rPr>
        <w:t>E. 4</w:t>
      </w:r>
    </w:p>
    <w:p>
      <w:r>
        <w:t>Au vu de ce qui précède, le jugement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20 décembre 2019 par A______ SA contre le jugement JTBL/1084/2019 rendu le 7 novembre 2019 par le Tribunal des baux et loyers dans la cause C/7436/2018. Au fond : Confirme le jugement entrepris. Dit que la procédure est gratuite. Déboute les parties de toutes autres conclusions. Siégeant : Madame Sylvie DROIN, présidente; Madame Pauline ERARD et Madame Fabienne GEISINGER-MARIETHOZ, juges; Monsieur Jean-Philippe ANTHONIOZ et Monsieur Grégoire CHAMBAZ, juges assesseurs; Madame Maïté VALENTE, greffière. La présidente : Sylvie DROIN La greffière : Maïté VALENTE Indication des voies et délais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