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C/7329/2004 vom 21. März 2006</w:t>
      </w:r>
    </w:p>
    <w:p>
      <w:r>
        <w:t>GE Cour de justice, 2006-03-21, FR</w:t>
      </w:r>
    </w:p>
    <w:p>
      <w:r>
        <w:rPr>
          <w:b/>
        </w:rPr>
        <w:t xml:space="preserve">Quelle: </w:t>
      </w:r>
      <w:r>
        <w:t>https://mcp.opencaselaw.ch/entscheid/ge_gerichte_C_7329_2004</w:t>
      </w:r>
    </w:p>
    <w:p>
      <w:r>
        <w:t>FR: GE_GERICHTE C/7329/2004 du 21 mars 2006</w:t>
      </w:r>
    </w:p>
    <w:p>
      <w:r>
        <w:t>IT: GE_GERICHTE C/7329/2004 del 21 marzo 2006</w:t>
      </w:r>
    </w:p>
    <w:p>
      <w:pPr>
        <w:pStyle w:val="Heading2"/>
      </w:pPr>
      <w:r>
        <w:t>Regeste</w:t>
      </w:r>
    </w:p>
    <w:p>
      <w:r>
        <w:t>CONTRAT INDIVIDUEL DE TRAVAIL; COURTIER; PROVISION(COMMISSION); SALAIRE; EMPÊCHEMENT NON FAUTIF; COMPÉTENCE RATIONE MATERIAE; PRÉVOYANCE PROFESSIONNELLE; ATTESTATION DE SALAIRE; INTERPRÉTATION(SENS GÉNÉRAL); INCAPACITÉ DE TRAVAIL | T est engagé en qualité d'agent d'assurance. Son salaire est composé d'un montant fixe et de différentes commissions dont le calcul est réglementé contractuellement en cas d'incapacité de travail de T.Selon la Cour d'appel, la question de l'adhésion ou non de T à un nouveau système de calcul pour l'une des commissions peut rester indécise dès lors que l'incapacité de travail de T est née avant l'entrée en vigueur de ce nouveau système et qu'elle a perduré jusqu'au licenciement de T. Dans un tel cas, la commission doit se calculer sur la base du contrat en vigueur au moment de la naissance de l'incapacité de travail. Enfin, par obiter dictum, la Cour précise que la Juridiction des prud'hommes n'est pas compétente pour connaître des conclusions des parties portant sur la détermination du salaire assuré LPP. Il importe peu à cet égard que la solution du litige porté devant les autorités administratives dépende d'une question préjudicielle de droit civil, en l'occurence l'interprétation du contrat de travail conclu par les parties aux fins d'en déterminer le contenu, la nature et la portée de leurs engagements. | CO.324.leta.ch1; CO.324.leta.ch2; LJP.1.al2.letb; LJP.21</w:t>
      </w:r>
    </w:p>
    <w:p>
      <w:pPr>
        <w:pStyle w:val="Heading2"/>
      </w:pPr>
      <w:r>
        <w:t>Erwägungen</w:t>
      </w:r>
    </w:p>
    <w:p>
      <w:r>
        <w:rPr>
          <w:b/>
        </w:rPr>
        <w:t>E. 1</w:t>
      </w:r>
    </w:p>
    <w:p>
      <w:r>
        <w:t>Les parties ont été liées par un contrat de travail au sens des articles 319 et ss du Code des obligations (ci-après CO). La Chambre de céans est par conséquent compétente pour connaître du présent litige (art. 1 al. 1 LJP).</w:t>
      </w:r>
    </w:p>
    <w:p>
      <w:r>
        <w:rPr>
          <w:b/>
        </w:rPr>
        <w:t>E. 2</w:t>
      </w:r>
    </w:p>
    <w:p>
      <w:r>
        <w:t>Les parties ayant décidé d’un commun accord de porter directement leur différend devant la Chambre d’appel lors de l’audience de conciliation du 26 août 1999, la Chambre de céans siège en instance unique (art. 21 LJP).</w:t>
      </w:r>
    </w:p>
    <w:p>
      <w:r>
        <w:rPr>
          <w:b/>
        </w:rPr>
        <w:t>E. 3</w:t>
      </w:r>
    </w:p>
    <w:p>
      <w:r>
        <w:t>3.1 Selon l’article 324 let. a ch. 1 CO, le travailleur empêché de travailler sans faute de sa part en raison d’une maladie, a droit à son salaire pour un temps limité si les rapports de travail ont duré plus de trois mois ou ont été conclus pour plus de trois mois. Le chiffre 2 de cette disposition prévoit le versement du salaire pendant une durée limitée. Celle-ci peut aller jusqu'à six mois selon la durée du contrat de travail (J-L DUC ET O. SUBILIA: Commentaire du contrat individuel du contrat de travail p. 209). L’employeur peut toutefois se libérer de cette obligation de paiement du salaire s’il a été convenu qu’une assurance couvrirait la perte de gain à des conditions qualifiées d’au moins équivalentes (art. 324 let. a ch. 4 CO).</w:t>
      </w:r>
    </w:p>
    <w:p>
      <w:r>
        <w:rPr>
          <w:b/>
        </w:rPr>
        <w:t>E. 3.2</w:t>
      </w:r>
    </w:p>
    <w:p>
      <w:r>
        <w:t>En l’occurrence, les incapacités de travail successives, d’accident d’abord puis de maladie, étaient couvertes par des assurances couvrant les 100% de la perte de gain dès le 30 ème jour. Les trente premiers jours d’incapacité pour maladie ou accident de travail sont couverts par les prestations définies à l’annexe 11 du contrat. Dès le 31 ème jour de l’incapacité de travail, ces mêmes prestations sont garanties par l’assurance indemnité journalière. Les prestations couvertes sont les suivantes : le revenu fixe ; l’indemnité pour frais ; l’indemnité pour perte de commissions ; les commissions annuelles et les commissions année courante. L’indemnité pour perte de commissions est basée sur la moyenne des commissions d’acquisition et de renouvellement, qui ont été versées au collaborateur pendant l’année civile complète précédente et est égale au 1/360 ème du total des commissions perçues, limitée à 180 fr. par jour maximum</w:t>
      </w:r>
    </w:p>
    <w:p>
      <w:r>
        <w:rPr>
          <w:b/>
        </w:rPr>
        <w:t>E. 3.3</w:t>
      </w:r>
    </w:p>
    <w:p>
      <w:r>
        <w:t>S’agissant des commissions « véhicules à moteur », les enquêtes ont permis d’établir que, pour la période 1 er décembre 1998 au 31 décembre 2002, les collaborateurs concernés de E___________ recevaient, en sus de la commission perçue pour les affaires nouvelles, une commission annuelle calculée sur la valeur totale des primes véhicules à moteur du conseiller concerné. Dès le 1 er décembre 1998, le montant de cette commission a représenté 50% de la commission annuelle « véhicule à moteur » versée pendant la période précédente. Dès le 1 er janvier 2003, un nouveau système a été mis en place comprenant une commission d’acquisition et de renouvellement à laquelle s’ajoutait une commission annuelle sur les contrats non transformés. T_________ et l’ALLIANZ ont des opinions divergentes en ce qui concerne : la nature de la commission « véhicules à moteur » ; le système de commissionnement à appliquer ; la terminaison du droit au commissionnement « véhicules à moteur ».</w:t>
      </w:r>
    </w:p>
    <w:p>
      <w:r>
        <w:rPr>
          <w:b/>
        </w:rPr>
        <w:t>E. 3.4</w:t>
      </w:r>
    </w:p>
    <w:p>
      <w:r>
        <w:t>En l’occurrence, l’indemnité journalière comprenant le salaire fixe, l’indemnité pour frais, l’indemnité pour perte de commissions ( correspondant au 360 ème des commissions perçues durant l’année civile précédant la survenance de l’incapacité, soit 2001) et la part sur la commission « véhicule à moteur » se monte : 40 fr. ( 14'400 fr. / 360 ) à titre d’indemnité pour frais ; 37 fr. 70 ( 13'200 fr. / 360 ) à titre de revenu fixe; 113 fr. ( 40'674 fr. / 360 ) à titre d’indemnité pour perte de commissions ; 26 fr. 20 ( 9'429 fr. 25 / 360 ) à titre de part sur la commission « véhicule à moteur » soit un total de 216 fr. 90. Pour la période du 23 novembre au 22 décembre 2002. l’indemnité due à T_________ se monte en conséquence à 6'507 fr. de laquelle il conviendra de retrancher les montants déjà versés par E_______ à titre d’employeur ou d’assureur. Salaire du 23 décembre 2002 au 6 avril 2003</w:t>
      </w:r>
    </w:p>
    <w:p>
      <w:r>
        <w:rPr>
          <w:b/>
        </w:rPr>
        <w:t>E. 3.5</w:t>
      </w:r>
    </w:p>
    <w:p>
      <w:r>
        <w:t>Dès le 7 avril 2003, T_________ a été en congé maladie. Pendant cette période l’indemnité journalière était également fixée par les annexes 10 à 12 du contrat, étant précisé que durant les 30 premiers jours de maladie ces prestations sont à la charge de E________ en tant qu’employeur. E__________ n’a pas expliqué pour quels motifs l’indemnité journalière versée par E__________ en tant qu’assurance maladie collective se montait à 116 fr. 64. L’indemnité pour pertes de commissions doit désormais être calculée sur la base des commissions perçues durant l’année civile précédant la survenance de la nouvelle cause d’incapacité de travail, soit 2002. En l’occurrence, l’indemnité journalière comprenant le salaire fixe, l’indemnité pour frais, l’indemnité pour perte de commissions ( correspondant au 1/360 ème des commissions perçues durant l’année civile précédant la survenance de l’incapacité, soit 2002) et la part sur la commission « véhicule à moteur » se monte  à 237 fr. 55, soit : 40 fr. ( 14'400 fr. / 360 ) à titre d’indemnité pour frais ; 37 fr. 70 ( 13'200 fr. / 360 ) à titre de revenu fixe; 133 fr. 65 ( 48'117 fr. 70 / 360 ) à titre d’indemnité pour perte de commissions ; 26 fr. 20 ( 9'429 fr. 25 / 360 ) à titre de part sur la commission « véhicule à moteur » ; Il en découle que l’indemnité due pour la période du 7 avril au 31 août 2003, soit pendant 147 jours, se monte à 34'919 fr. 85 de laquelle il conviendra de retrancher les montants déjà versés par E__________ à titre d’employeur ou d’assureur.</w:t>
      </w:r>
    </w:p>
    <w:p>
      <w:r>
        <w:rPr>
          <w:b/>
        </w:rPr>
        <w:t>E. 4</w:t>
      </w:r>
    </w:p>
    <w:p>
      <w:r>
        <w:t>T_________ réclame encore 6'129 fr. 20 à titre d’indemnité pour long rapport de service.</w:t>
      </w:r>
    </w:p>
    <w:p>
      <w:r>
        <w:rPr>
          <w:b/>
        </w:rPr>
        <w:t>E. 4.1</w:t>
      </w:r>
    </w:p>
    <w:p>
      <w:r>
        <w:t>Selon l’annexe 14 du contrat, le collaborateur a droit, à titre de cadeau d’ancienneté, à 100% d’une rémunération mensuelle, qui se compose du salaire fixe et du 1/12 ème des commissions créditées au cours de l’année précédente, sans les supercommissions, les indemnités perte de commissions et les indemnités d’actions ou campagne après 15 ans de service révolus.</w:t>
      </w:r>
    </w:p>
    <w:p>
      <w:r>
        <w:rPr>
          <w:b/>
        </w:rPr>
        <w:t>E. 4.2</w:t>
      </w:r>
    </w:p>
    <w:p>
      <w:r>
        <w:t>T_________ a travaillé pour E___________, anciennement B_______, du 1 er avril 1989 au 31 août 2003, soit pendant 14 ans révolus de sorte qu’il ne peut prétendre au cadeau d’ancienneté prévu par l’annexe 14 du contrat faute d’avoir travaillé les 15 ans révolus fixé par cette annexe.</w:t>
      </w:r>
    </w:p>
    <w:p>
      <w:r>
        <w:rPr>
          <w:b/>
        </w:rPr>
        <w:t>E. 5</w:t>
      </w:r>
    </w:p>
    <w:p>
      <w:r>
        <w:t>En résumé, T_________ a droit à : 6'507 fr. pour la période du 23 novembre au 22 décembre 2002 ; 22'774 fr. 50 pour la période du 24 décembre 2002 au 6 avril 2003 ; 34'919 fr. 85 pour la période du 7 avril au 31 août 2003 soit au total 64'201 fr. 35. Pendant cette même période E________ lui a versé 48'389 fr. 75 de sorte que le solde encore dû à T_________ au 31 août 2003 se monte à 15'811 fr. 60.</w:t>
      </w:r>
    </w:p>
    <w:p>
      <w:r>
        <w:rPr>
          <w:b/>
        </w:rPr>
        <w:t>E. 6</w:t>
      </w:r>
    </w:p>
    <w:p>
      <w:r>
        <w:t>T_________ réclame enfin une attestation de salaire LPP confirmant que le salaire réel qui lui a été versé en 2002 se monte à 75'718 fr. E________ explique que le salaire assuré par la Caisse de pension en faveur du personnel des agences générales de E__________ correspond au salaire AVS du conseiller concerné soit 75% du salaire réel de 75'718 fr., soit 56'788 fr. 35 montant figurant sur le certificat LPP 2002.</w:t>
      </w:r>
    </w:p>
    <w:p>
      <w:r>
        <w:rPr>
          <w:b/>
        </w:rPr>
        <w:t>E. 6.1</w:t>
      </w:r>
    </w:p>
    <w:p>
      <w:r>
        <w:t>A teneur de l’article 1 alinéa 2 lettre b LJP, ne sont pas du ressort de la Juridiction des prud’hommes, les contestations relatives à la prévoyance professionnelle, opposant institutions de prévoyance, employeurs et ayants droit (art. 331 à 331c CO; art. 73 LPP). En vertu de l’article 73 alinéa 1 LPP, chaque canton désigne un tribunal qui connaît, en dernière instance cantonale, des cotisations opposant institutions de prévoyance, employeurs et ayants droit. Le tribunal statue de même sur les prétentions en matière de responsabilité selon l’article 52 LPP et sur le droit de recours selon l’article 56a alinéa 1 LPP. L’article 56C lettre d LOJ prévoit que le Tribunal administratif connaît en instance cantonale unique des contestations relatives à la prévoyance professionnelle opposant institutions de prévoyance, employeurs et ayants droit (art. 331 à 331c CO; art. 73 LPP). Selon la jurisprudence citée à l’ATF 114 V 105 consid. 1b et confirmée à l’ATF 127 V 35 consid. 2b, l'article 73 LPP constitue une réglementation spéciale, dérogeant à la Loi fédérale d'organisation judiciaire, dans la mesure où il supprime implicitement une des conditions ordinaires de recevabilité du recours de droit administratif, à savoir l'existence d'une décision fondée sur le droit public fédéral. A teneur de la jurisprudence confirmée du Tribunal fédéral, notamment citée aux ATF 127 V 35 consid. 2b, ATF 125 V 168 consid. 2 et ATF 122 V 323 consid. 2b et les références citées, la compétence des autorités visées par l'article 73 LPP est doublement définie. Elle l'est, tout d'abord, quant à la nature du litige : il faut que la contestation entre les parties porte sur des questions spécifiques de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l'article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savoir les institutions de prévoyance, les employeurs et les ayants droit (ATF 127 V 35 consid. 2b). A teneur d’un arrêt non publié du Tribunal fédéral du 25 janvier 2000, B 37/99 et les références citées, le litige, en première instance, opposait un ayant droit à un employeur dont les prétentions portaient sur le versement des cotisations arriérées par l'employeur à l’institution de prévoyance. Le Tribunal fédéral des assurances a considéré que la demande, fondée directement sur l'article 66 alinéas 2 et 3 LPP, faisait partie des questions spécifiques relevant de la prévoyance professionnelle au sens large. Il importait peu à cet égard que la solution du litige dépende d'une question préjudicielle de droit civil, en l'occurrence l'interprétation du contrat de travail conclu par les parties aux fins d'en déterminer le contenu, la nature et la portée de leurs engagements. Partant, l’autorité judiciaire cantonale administrative était compétente pour statuer sur la demande.</w:t>
      </w:r>
    </w:p>
    <w:p>
      <w:r>
        <w:rPr>
          <w:b/>
        </w:rPr>
        <w:t>E. 6.2</w:t>
      </w:r>
    </w:p>
    <w:p>
      <w:r>
        <w:t>En l’espèce, E___________ a déjà confirmé dans son écriture du 29 novembre 2004 que le salaire réel 2002 s’élevait à 75'718 fr. et le salaire assuré à 56'788 fr. 35, soit 75% du salaire réel. Il n’y a ainsi pas lieu de lui ordonner de faire un courrier en ce sens à la Caisse de prévoyance. En tant que la demande de T_________ porterait sur la détermination du salaire assuré LPP, elle sort de la compétence ratione materiae de la Cour telle que définie à l’art. 1 al. 2 let. b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