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C/7320/2013 vom 11. April 2014</w:t>
      </w:r>
    </w:p>
    <w:p>
      <w:r>
        <w:t>GE Cour de justice, 2014-04-11, FR</w:t>
      </w:r>
    </w:p>
    <w:p>
      <w:r>
        <w:rPr>
          <w:b/>
        </w:rPr>
        <w:t xml:space="preserve">Quelle: </w:t>
      </w:r>
      <w:r>
        <w:t>https://mcp.opencaselaw.ch/entscheid/ge_gerichte_C_7320_2013</w:t>
      </w:r>
    </w:p>
    <w:p>
      <w:r>
        <w:t>FR: GE_GERICHTE C/7320/2013 du 11 avril 2014</w:t>
      </w:r>
    </w:p>
    <w:p>
      <w:r>
        <w:t>IT: GE_GERICHTE C/7320/2013 del 11 aprile 2014</w:t>
      </w:r>
    </w:p>
    <w:p>
      <w:pPr>
        <w:pStyle w:val="Heading2"/>
      </w:pPr>
      <w:r>
        <w:t>Regeste</w:t>
      </w:r>
    </w:p>
    <w:p>
      <w:r>
        <w:t>PROTECTION DE L'UNION CONJUGALE; OBLIGATION D'ENTRETIEN | CC.176.1.1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non patrimoniales (droit de visite) et patrimoniales qui, capitalisées selon l'art. 92 al. 2 CPC, sont supérieures à 10'000 fr. (art. 308 CPC), le présent appel est recevable.</w:t>
      </w:r>
    </w:p>
    <w:p>
      <w:r>
        <w:rPr>
          <w:b/>
        </w:rPr>
        <w:t>E. 1.2</w:t>
      </w:r>
    </w:p>
    <w:p>
      <w:r>
        <w:t>La Cour revoit la cause en fait et en droit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Elle applique les maximes inquisitoire et d'office illimitée, compte tenu de la présence d'un enfant mineur (art. 296 al. 1 et 3 CPC).</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Partant, il y a lieu de prendre en considération les pièces nouvelles produites par l'intimé devant la Cour ainsi que les éléments de fait qu'elles comportent.</w:t>
      </w:r>
    </w:p>
    <w:p>
      <w:r>
        <w:rPr>
          <w:b/>
        </w:rPr>
        <w:t>E. 2</w:t>
      </w:r>
    </w:p>
    <w:p>
      <w:r>
        <w:t>L'appelante a fait parvenir sans tarder sa détermination sur la réponse à l'appel de l'intimé et ce dernier en a fait de même en dupliquant. Ces réplique et duplique sont partant recevables (cf. ATF 133 I 100 consid. 4.5; arrêts du Tribunal fédéral 4A_680/2012 du 7 mars 2013 consid. 2.2; 4A_332/2011 du 21 novembre 2011 consid. 1 publié in RSPC 2012 90; 4A_648/2012 du 4 avril 2012 consid. 2.2; 2D_77/2010 du 19 juillet 2011 consid. 2.3 et les références citées).</w:t>
      </w:r>
    </w:p>
    <w:p>
      <w:r>
        <w:rPr>
          <w:b/>
        </w:rPr>
        <w:t>E. 3</w:t>
      </w:r>
    </w:p>
    <w:p>
      <w:r>
        <w:t>Les parties étant toutes deux de nationalité portugaise,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4</w:t>
      </w:r>
    </w:p>
    <w:p>
      <w:r>
        <w:t>L'intimé a pris en appel, à titre préalable, une conclusion tendant à la comparution personnelle des parties. Les parties peuvent solliciter des actes d'instruction devant la Cour conformément à l'art. 316 al. 3 CPC. L'instance d'appel peut librement décider d'administrer des preuves - parmi lesquelles figurent l'audition des parties (art. 191 et ss CPC) -,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Code de procédure civile commenté, Bohnet/Haldy/ Jeandin/Schweizer/Tappy [éd.], 2011, n. 5 ad art. 316).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En l'espèce, les parties ont déjà été entendues en première instance et l'intimé n'expose pas pour quels motifs une nouvelle audition serait nécessaire. La Cour estimant être suffisamment renseignée pour se déterminer sur les questions faisant l'objet de l'appel, la conclusion préalable de l'intimé sera rejetée.</w:t>
      </w:r>
    </w:p>
    <w:p>
      <w:r>
        <w:rPr>
          <w:b/>
        </w:rPr>
        <w:t>E. 5</w:t>
      </w:r>
    </w:p>
    <w:p>
      <w:r>
        <w:t>L'appelante conteste le montant de la contribution d'entretien, faisant grief au Tribunal d'avoir apprécié les faits et les preuves de manière arbitraire. Elle ne critique pas le calcul effectué par le Tribunal selon la méthode du minimum vital élargi avec répartition de l'excédent, mais fait grief au premier juge d'avoir réduit la contribution d'entretien en faveur de la famille d'une centaine de francs et de l'avoir fixée à 500 fr. par mois en prévision d'impôts futurs de l'intimé, alors que sa charge d'impôts n'avait pas été prise en considération. Elle conteste également des éléments retenus au titre des charges et revenus de l'intimé.</w:t>
      </w:r>
    </w:p>
    <w:p>
      <w:r>
        <w:rPr>
          <w:b/>
        </w:rPr>
        <w:t>E. 5.1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Pour le calcul du minimum vital du droit des poursuites, les frais de logement effectifs ou raisonnables doivent être ajoutés au montant de base du droit des poursuites; lorsque des enfants ou des tiers vivent dans le foyer, leur part au coût du logement en est alors déduite (Bastons Bulletti, L'entretien après divorce: méthode de calcul, montant, durée et limites, SJ 2007 II p. 77 ss, p. 85 et note 47 et 48 ). Lorsque des enfants majeurs ayant leurs propres revenus professionnels vivent avec un de leurs parents, il convient de tenir compte d'une participation proportionnelle aux dépenses de logement (arrêt du Tribunal fédéral 5A_41/2008 du 13 novembre 2008, consid. 7.2; arrêt du Tribunal fédéral 5P.463/2003 du 20 février 2004). En revanche, il est de jurisprudence constante que la communauté domestique formée par une personne vivant avec des enfants majeurs ne constitue pas une communauté durable telle que le mariage ou le concubinage, de sorte qu'il ne se justifie pas de tenir compte du montant de base applicable à une personne vivant en communauté (cf. ATF 130 III 765 consid. 2.3 et 2.4, JdT 2006 II 133; ATF 114 III 12 consid. 3, JdT 1990 II 118; ATF 128 III 159 , JdT 2002 II 58). Le Tribunal fédéral a ainsi jugé que la communauté de vie formée par une mère et sa fille de vingt-quatre ans ne pouvait pas être comparée à une communauté durable et qu'il y avait lieu de tenir compte, pour le calcul du minimum vital de la mère, du revenu du travail de l'enfant majeur uniquement pour sa participation aux frais du logement (cf. ATF 132 III 483 , JdT 2007 II 78 consid. 4.2). Le Tribunal fédéral a retenu qu'il n'était pas contraire au droit fédéral de considérer qu'une participation au loyer d'un enfant majeur qui doit assurer seul son entretien avec un salaire de 1'000 fr. était exclue (arrêt du Tribunal fédéral 5C.45/2006 , c. 3.6 du 15 mars 2006; Bastons Bulletti, op. cit., p. 88 note 65). Dans le cadre de la détermination des charges concrètes des enfants, la part de loyer à leur charge peut est estimée entre 20 et 30% du loyer raisonnable pour un, respectivement deux enfants (Bastons Bulletti, op. cit., p. 102, note 140).</w:t>
      </w:r>
    </w:p>
    <w:p>
      <w:r>
        <w:rPr>
          <w:b/>
        </w:rPr>
        <w:t>E. 5.2</w:t>
      </w:r>
    </w:p>
    <w:p>
      <w:r>
        <w:t>L'appelante conteste premièrement l'estimation des revenus nets de l'intimé, retenus à hauteur de 4'700 fr. par mois par le premier juge, alors qu'ils s'élèveraient, selon elle, à 4'979 fr. par mois. D'après son certificat de salaire, l'intimé a réalisé en 2012 un revenu annuel net de 59'752 fr., prime de 4'000 fr. versée en décembre 2012 comprise. Il ressort de la fiche de salaire de ce mois que cette prime avait été versée à bien plaire et était exceptionnelle. C'est partant à tort que l'appelante estime que l'intimé n'a pas rendu vraisemblable le caractère exceptionnel de cette prime. Selon les fiches de salaires de février et mai 2013, le salaire mensuel net de l'intimé s'élève à 4'149 fr., après déduction de frais de nourriture de 170 fr. Il a en outre perçu une prime de 200 fr. en janvier 2013, de sorte que son salaire mensuel net s'est élevé à 4'373 fr. 45. Cette prime n'a pas fait l'objet d'une réserve de la part de son employeur et il n'est pas indiqué à quel titre elle a été versée. En mensualisant ces trois mois de salaire, le revenu mensuel net de l'intimé pourrait être estimé à 4'574 fr. dès lors que le salaire est versé 13 fois l'an ((4'373 fr. 45 + (2x4'149 fr.)) /3 x 13 /12). Cela étant, il n'y a pas lieu de s'écarter du montant retenu par le premier juge, qui a estimé le revenu de l'intimé à environ 4'700 fr. par mois, dès lors que l'intimé n'a produit que trois fiches de salaire pour l'année écoulée et qu'il est vraisemblable qu'il perçoive ponctuellement d'autres primes de l'ordre de 200 fr. par mois, même si, contrairement à ce que soutient l'appelante, il ne peut être retenu que l'intimé perçoit une prime similaire à celle reçue en décembre 2012. Les charges mensuelles incompressibles de l'intimé non contestées par les parties comprennent sa prime d'assurance maladie (348 fr. 15), de ses frais de transport (70 fr.) et de son entretien de base OP. Le montant de son entretien de base OP est arrêté à 1'200 fr. dans la mesure où l'intimé ne forme pas une colocation ou une communauté de vie avec sa soeur, laquelle se contente de l'héberger à titre provisoire, contrairement à ce que soutient l'appelante. L'intimé soutient qu'il participe aux frais du ménage de sa sœur, laquelle a déclaré par écrit qu'il participait aux dépenses mensuelles en lui versant plus de 1'000 fr. par mois. L'on ne saurait exiger de l'intimé qu'il continue à cohabiter avec sa sœur; il devrait à terme disposer d'un logement susceptible d'accueillir son fils mineur (Bastons Bulletti, op. cit., p. 85, note 47). Cela étant,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L'intimé étant provisoirement hébergé par sa sœur et ayant rendu vraisemblable le versement d'un montant comprenant une participation au loyer de celle-ci, il y a lieu de retenir un montant de 500 fr. par mois dans le calcul de ses charges au titre de frais de logement, somme correspondant à 40% dudit loyer de 1'245 fr. par mois. Les charges incompressibles de l'intimé s'élèvent ainsi à environ 2'120 fr. par mois (1'200 fr. + 500 fr. + 348 fr. 15 + 70 fr.). Compte tenu de son revenu mensuel de 4'700 fr., la capacité contributive de l'intimé est de l'ordre de 2'580 fr. par mois (4'700 fr. – 2'120 fr.).</w:t>
      </w:r>
    </w:p>
    <w:p>
      <w:r>
        <w:rPr>
          <w:b/>
        </w:rPr>
        <w:t>E. 5.3</w:t>
      </w:r>
    </w:p>
    <w:p>
      <w:r>
        <w:t>Le revenu mensuel net de l'appelante est légèrement supérieur à celui retenu par le Tribunal et peut être estimé à 5'500 fr., dès lors qu'il oscille entre 5'163 fr. 05 et 5'011 fr. nets par mois et qu'il est perçu 13 fois l'an ((5'163 fr. + 5'011 fr.) /2 x 13 /12)). Les charges mensuelles de l'appelante retenues par le premier juge et non contestées par les parties totalisent 2'450 fr. (1'350 fr. de montant de base mensuel selon les normes d'insaisissabilité + 674 fr. de frais de logement [soit 80% de 843 fr.] + 356 fr. 05 de primes d'assurance maladie obligatoire + 70 fr. de frais de déplacement). Il n'y a en l'espèce pas lieu de tenir compte d'une participation au logement de l'enfant majeur qui vit avec l'appelante, dès lors que celui-ci perçoit un salaire mensuel net de 650 fr., auquel s'ajoutent les allocations d'études de 400 fr. par mois, et qu'il doit subvenir à ses charges fixes (telles que transport, assurance-maladie, matériel scolaire, habits, etc.) - qui peuvent être estimées à environ 1'000 fr. par mois - au moyen de ses revenus et de l'argent de poche versé par l'intimé. Il n'y a pas davantage lieu de comptabiliser les charges de l'enfant majeur dans celles de l'appelante. Le disponible mensuel de cette dernière s'élève ainsi à 3'050 fr.</w:t>
      </w:r>
    </w:p>
    <w:p>
      <w:r>
        <w:rPr>
          <w:b/>
        </w:rPr>
        <w:t>E. 5.4</w:t>
      </w:r>
    </w:p>
    <w:p>
      <w:r>
        <w:t>Compte tenu de l'attribution de la garde de l'enfant à l'appelante, laquelle assume la majeure partie des soins et de l'éducation de D______, il y a lieu de condamner l'intimé à prendre en charge l'intégralité des frais de l'enfant mineur. Il n'y a pas lieu de procéder à un calcul de la contribution d'entretien en faveur de l'enfant selon les tabelles zurichoises, étant rappelé que les revenus de l'appelant sont inférieurs à celui retenu par ces statistiques (4'700 fr. contre 7'000 fr. à 7'500 fr.). Il n'y a pas davantage lieu de se référer à la méthode de calcul abstraite, vu les revenus modestes de l'appelant. Les charges mensuelles de l'enfant mineur retenues par le premier juge et non contestées par les parties s'élèvent à 587 fr. (comprenant 600 fr. de montant de base mensuel selon les normes d'insaisissabilité, 168 fr. de participation aux frais de logement (soit 20% de 843 fr.), 74 fr. 55 de prime d'assurance maladie et 45 fr. de frais de transport, dont il convient de déduire 300 fr. d'allocations familiales (ATF 128 III 305 consid. 4b; arrêt du Tribunal fédéral 5A_386/2012 du 23 juillet 2012 consid. 4.3.1). La contribution d'entretien en faveur de l'enfant mineur et à la charge de l'intimé peut donc être arrêtée à un montant arrondi de 600 fr. par mois. Le minimum vital de l'intimé est ainsi respecté et celui-ci dispose en sus d'un montant suffisant pour s'acquitter de ses impôts courants qui peuvent être estimés à environ 500 fr. par mois pour l'année 2013 (conformément à la simulation de la situation fiscale de l'intimé au moyen de la calculette mise à disposition par l'Etat de Genève; http://ge.ch/impots/calcul-et-paiement-des-impots). Pour le surplus, au vu des revenus et des charges des parties, après paiement de cette contribution, le disponible mensuel de l'intimé s'élèvera à 1'980 fr. (hors impôts) alors que l'appelante disposera d'un solde mensuel de 3'050 fr. (hors impôts). Il s'ensuit qu'aucune contribution n'est due par l'intimé en faveur de l'appelante, dès lors que cette dernière est à même de pourvoir à son entretien convenable et dispose d'un solde mensuel plus important que l'intimé. Le chiffre 5 du dispositif du jugement entrepris sera modifié dans le sens des considérants qui précèdent.</w:t>
      </w:r>
    </w:p>
    <w:p>
      <w:r>
        <w:rPr>
          <w:b/>
        </w:rPr>
        <w:t>E. 6</w:t>
      </w:r>
    </w:p>
    <w:p>
      <w:r>
        <w:t>Aux termes de l'art. 173 al. 3 CC, applicable en cas de vie séparée selon l'art. 176 CC (ATF 115 II 201 consid. 4a; arrêt du Tribunal fédéral 5A_935/2012 du 11 juin 2013 consid. 3.2), la contribution d'entretien peut être réclamée pour l'avenir et pour l'année qui précède l'introduction de la requête. En l'espèce, les parties vivent séparées depuis fin septembre 2012 et la requête de mesures protectrices de l'union conjugale a été déposée le 5 avril 2013. Il n'a été ni prouvé ni allégué que l'intimé a participé de manière substantielle à l'entretien de sa famille dans l'intervalle, étant précisé que l'argent de poche versé aux enfants ne constitue pas une telle contribution. Le premier juge a fixé le dies a quo de l'obligation de payer les contributions d'entretien au 1er octobre 2012. Les parties ne contestent pas en appel le dies a quo du versement de la contribution d'entretien. Il n'y a dès lors pas lieu de revoir ce point. Le chiffre 5 du dispositif du jugement devra toutefois être complété dès lors qu'il ne précise pas le dies a quo du versement de la contribution d'entretien.</w:t>
      </w:r>
    </w:p>
    <w:p>
      <w:r>
        <w:rPr>
          <w:b/>
        </w:rPr>
        <w:t>E. 7</w:t>
      </w:r>
    </w:p>
    <w:p>
      <w:r>
        <w:t>7.1 Lorsque la Cour de céans statue à nouveau, elle se prononce sur les frais fixés par le Tribunal (art. 318 al. 3 CPC). Dans la présente affaire, le premier juge a arrêté à 200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w:t>
      </w:r>
    </w:p>
    <w:p>
      <w:r>
        <w:rPr>
          <w:b/>
        </w:rPr>
        <w:t>E. 7.2</w:t>
      </w:r>
    </w:p>
    <w:p>
      <w:r>
        <w:t>Dans la mesure où aucune des parties n'a obtenu entièrement gain de cause en appel et où la présente cause relève du droit de la famille, les frais de seconde instance, fixés à 800 fr. (art. 96, 104 al. 1, 105 al. 1, 106 al. 2 et 107 al. 1 let. c CPC; 31 et 37 du Règlement fixant le tarif des frais en matière civile [RTFMC; E 1 05.10]), couverts par l'avance de frais opérée par l'appelant, qui reste acquise à l'Etat, seront répartis à parts égales entre chacun des conjoints. Enfin, chacun des époux conservera à sa charge ses propres dépens (art. 107 al. 1 let. c CPC).</w:t>
      </w:r>
    </w:p>
    <w:p>
      <w:r>
        <w:rPr>
          <w:b/>
        </w:rPr>
        <w:t>E. 8</w:t>
      </w:r>
    </w:p>
    <w:p>
      <w:r>
        <w:t>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les chiffres 5 et 10 du jugement JTPI/13035/2013 rendu le 7 octobre 2013 par le Tribunal de première instance dans la cause C/7320/2013-12. Au fond : Annule le chiffre 5 du dispositif du jugement querellé, et statuant à nouveau : Condamne B______ à verser à A______, par mois et d'avance, au titre de contribution à l'entretien de l'enfant D______, la somme de 600 fr. dès le 1 er octobre 2012. Déboute les parties de toutes autres conclusions. Sur les frais : Arrête les frais judiciaires d'appel à 800 fr., couverts par l'avance de frais fournie par A______, qui reste acquise à l'Etat de Genève. Les met à la charge des parties à parts égales entre elles. Condamne en conséquence B______ à verser 400 fr. à A______.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