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C/7259/2020 vom 9. November 2020</w:t>
      </w:r>
    </w:p>
    <w:p>
      <w:r>
        <w:t>GE Cour de justice, 2020-11-09, FR</w:t>
      </w:r>
    </w:p>
    <w:p>
      <w:r>
        <w:rPr>
          <w:b/>
        </w:rPr>
        <w:t xml:space="preserve">Quelle: </w:t>
      </w:r>
      <w:r>
        <w:t>https://mcp.opencaselaw.ch/entscheid/ge_gerichte_C_7259_2020</w:t>
      </w:r>
    </w:p>
    <w:p>
      <w:r>
        <w:t>FR: GE_GERICHTE C/7259/2020 du 9 novembre 2020</w:t>
      </w:r>
    </w:p>
    <w:p>
      <w:r>
        <w:t>IT: GE_GERICHTE C/7259/2020 del 9 novembre 2020</w:t>
      </w:r>
    </w:p>
    <w:p>
      <w:pPr>
        <w:pStyle w:val="Heading2"/>
      </w:pPr>
      <w:r>
        <w:t>Regeste</w:t>
      </w:r>
    </w:p>
    <w:p>
      <w:r>
        <w:t>CPC.257; CO.257d</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rPr>
          <w:b/>
        </w:rPr>
        <w:t>E. 1.2</w:t>
      </w:r>
    </w:p>
    <w:p>
      <w:r>
        <w:t>En l'espèce, au vu du montant du loyer le plus récent de 3'392 fr. par mois,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fait valoir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Ainsi, les allégations nouvelles de l'intimée ne sont pas recevables.</w:t>
      </w:r>
    </w:p>
    <w:p>
      <w:r>
        <w:rPr>
          <w:b/>
        </w:rPr>
        <w:t>E. 3</w:t>
      </w:r>
    </w:p>
    <w:p>
      <w:r>
        <w:t>La bailleresse reproche au Tribunal d'avoir considéré que le cas n'était pas clair, motif pris de l'absence de décompte et de preuve du non-paiement du loyer.</w:t>
      </w:r>
    </w:p>
    <w:p>
      <w:r>
        <w:rPr>
          <w:b/>
        </w:rPr>
        <w:t>E. 3.1</w:t>
      </w:r>
    </w:p>
    <w:p>
      <w:r>
        <w:t>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et manière convaincante. Ils ne doivent pas être d'emblée voués à l'échec. Ils doivent être crédibles et susceptibles de faire douter le tribunal chargé de statuer sur la requête en cas clair (lachat/lachat, Procédure civile en matière de baux et loyers, 2019, p. 244).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3.1.2</w:t>
      </w:r>
    </w:p>
    <w:p>
      <w:r>
        <w:t>La maxime des débats est applicable (art. 55 al. 1 CPC), sauf dans les deux cas prévus par l'art. 255 CPC (lequel est réservé par l'art. 55 al. 2 CPC), qui ne sont pas pertinents en l'espèce.</w:t>
      </w:r>
    </w:p>
    <w:p>
      <w:r>
        <w:rPr>
          <w:b/>
        </w:rPr>
        <w:t>E. 3.1.3</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les baux d'habitation ou de locaux commerciaux peuvent être résiliés avec un délai de congé minimum de trente jours pour la fin d'un mois.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 sommation indiquant une mensualité échue et aussi, par erreur, une mensualité qui ne l'est pas encore, reste valable pour le loyer échu, du moment que le locataire ne pouvait pas avoir de doute sur l'exigibilité et le bien-fondé de la créance du bailleur. Est inefficace la sommation qui ne mentionne pas les loyers en souffrance mais uniquement un montant d'arriéré dépassant le double de l'arriéré réel (lachat/grobet thorens/rubli/stasny, Le bail à loyer, 2019, p. 874).</w:t>
      </w:r>
    </w:p>
    <w:p>
      <w:r>
        <w:rPr>
          <w:b/>
        </w:rPr>
        <w:t>E. 3.1.4</w:t>
      </w:r>
    </w:p>
    <w:p>
      <w:r>
        <w:t>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(arrêt du Tribunal fédéral 5A_75/2018 du 18 décembre 2018 consid. 2.3).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(ATF 140 III 481 consid. 2.3.2 avec références; 89 II 287 consid.5; arrêt du Tribunal fédéral 5A_570/2017 du 27 août 2018 consid. 6.1).</w:t>
      </w:r>
    </w:p>
    <w:p>
      <w:r>
        <w:rPr>
          <w:b/>
        </w:rPr>
        <w:t>E. 3.1.5</w:t>
      </w:r>
    </w:p>
    <w:p>
      <w:r>
        <w:t>La manière de sanctionner la violation d'une convention de médiation imposant aux parties de ne pas procéder en justice ou devant un tribunal arbitral sans avoir recouru préalablement à ce mode alternatif de résolution des litiges est une question fort controversée, qui peut être formulée en ces termes : celui qui viole une convention de médiation ne s'expose-t-il qu'à l'obligation de payer d'éventuels dommages-intérêts à son adverse partie ou court-il le risque que sa demande soit déclarée irrecevable, voire rejetée (en l'état) par le juge ou l'arbitre ? (arrêt du Tribunal fédéral 4A_18/2007 consid. 4.3.3.1, qui ne tranche pas la question, et les références citées; bohnet, Les défenses en procédure civile suisse, in RDS 2009 II 262).</w:t>
      </w:r>
    </w:p>
    <w:p>
      <w:r>
        <w:rPr>
          <w:b/>
        </w:rPr>
        <w:t>E. 3.2.1</w:t>
      </w:r>
    </w:p>
    <w:p>
      <w:r>
        <w:t>En l'espèce, c'est à tort que le Tribunal a considéré que le cas n'était pas clair. S'agissant tout d'abord de la validité de l'avis comminatoire, l'intimée n'a pas fait part à l'appelante dans le délai comminatoire de ses doutes quant au bien-fondé du montant de 53'189 fr. 05 qui lui était alors réclamé, ni même requis un décompte détaillé des loyers en souffrance. Elle n'a pas fait opposition au commandement de payer qui lui a été notifié deux mois plus tard, d'un montant supérieur, et dont il ressort que les loyers étaient en souffrance dans leur totalité depuis janvier 2019. Comme relevé ci-dessus, la bailleresse n'avait par ailleurs pas l'obligation de joindre un tel décompte à l'avis comminatoire. Ça n'est qu'à l'audience devant le Tribunal que l'intimée a contesté le montant de l'arriéré, tout en admettant avoir cessé de payer les loyers. Elle n'a pas allégué avoir procédé au moindre versement. Il est exact que l'avis comminatoire n'indique pas la période à laquelle les arriérés réclamés correspondent et qu'il est difficile de déterminer précisément à quoi correspond le montant réclamé. Cependant, on comprend, sur la base du contrat de bail et du commandement de payer, qu'à tout le moins les sommes suivantes étaient réclamées : -          38'869 fr. pour les loyers impayés depuis janvier 2019 à octobre 2019 (10 mois à 3'316 fr., plus charges par 276 fr. 30, plus TVA de 7.7%), comme mentionné dans le commandement de payer et non contesté par l'intimée; -          8'332 fr. 30 pour les loyers impayés de novembre et décembre 2019 (2 mois à 3'592 fr., plus charges par 276 fr. 30, plus TVA de 7.7%); soit un total de 47'201 fr. 30. La différence de 5'987 fr. 70 (53'189 fr. 05 - 47'201 fr. 30) n'est pas suffisamment importante pour considérer que l'avis comminatoire est nul dans son entier. Même si ce montant comprend des montants ne permettant pas l'application de l'art. 257d CO (garantie de loyer), la sommation reste valable pour le surplus. En tout état, l'attitude de l'intimée qui n'a pas fait opposition au commandement de payer, reconnaissant par là devoir les montants réclamés, mais conteste que les conditions d'une résiliation pour défaut de paiement soient réalisées, sans pour autant affirmer avoir payé les loyers en souffrance, est contradictoire et ne mérite pas protection. Les arguments de l'intimée, tirés de l'absence de traduction en français du contrat qu'elle a signé, de la sous-location des locaux, d'une prétendue créance compensatoire liée à des travaux qu'elle aurait effectués dans les locaux loués, ne reposent sur aucune pièce et ne peuvent être pris en considération. Ils sont, de plus, pour la plupart non pertinents, s'agissant d'un défaut de paiement. Enfin, la partie intimée n'a pas fait valoir d'entrée de cause la clause de médiation contenue dans le contrat, mais subsidiairement à ses autres arguments et sans conclure à l'irrecevabilité de la requête à ce titre. Pour ce motif déjà, l'argument doit être rejeté, sans préjudice de la mauvaise foi de l'intimée à s'en prévaloir, au vu de l'importance de l'arriéré et de l'absence totale de paiement. Au vu des considérations qui précèdent, le cas est clair. Partant, le jugement entrepris sera annulé. Les conditions de l'art. 257d CO étant réalisées, ce que l'intimée ne conteste au demeurant pas, son évacuation sera prononcée et la restitution des clés (qui en découle) ordonnée. La mesure sera assortie de la menace de la peine prévue à l'art. 292 CP, à savoir l'amende, compte tenu du fait que la partie intimée demeure toujours dans les locaux, malgré la résiliation donnée pour fin février 2020 (art. 267 CPC).</w:t>
      </w:r>
    </w:p>
    <w:p>
      <w:r>
        <w:rPr>
          <w:b/>
        </w:rPr>
        <w:t>E. 3.2.2</w:t>
      </w:r>
    </w:p>
    <w:p>
      <w:r>
        <w:t>L'art. 30 LaCC n'étant pas applicable aux locaux commerciaux, l'exécution de l'évacuation sera ordonnée (art. 318 al. 1 let. b CPC), dès le 30 ème jour suivant l'entrée en force du présent arrêt, comme sollicité par l'appelante, l'intimée ne s'étant pas déterminée sur ce point, le délai apparaissant adéquat pour permettre à cette dernière de s'organiser en vue de libérer les locaux et tenant équitablement compte des intérêts en présence.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29 juillet 2020 par A______ AG contre le jugement JTBL/500/2020 rendu le 16 juillet 2020 par le Tribunal des baux et loyers dans la cause C/7259/2020-8-SE. Au fond : Annule ce jugement et, statuant à nouveau : Condamne GROUPE B______ SA à évacuer immédiatement les locaux sis 1______, Genève, y compris les biens et installations garnissant lesdits locaux, et à restituer à A______ AG l'ensemble des clés des locaux précités, sous la menace de la peine prévue à l'art. 292 CP, à savoir l'amende. Autorise A______ AG à requérir l'évacuation de GROUPE B______ SA des locaux sis 1______, Genève, par la force publique, dès le 30 ème jour suivant l'entrée en force du présent arrêt.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