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C/7225/2021 vom 20. Juni 2017</w:t>
      </w:r>
    </w:p>
    <w:p>
      <w:r>
        <w:t>GE Cour de justice, 2017-06-20, FR</w:t>
      </w:r>
    </w:p>
    <w:p>
      <w:r>
        <w:rPr>
          <w:b/>
        </w:rPr>
        <w:t xml:space="preserve">Quelle: </w:t>
      </w:r>
      <w:r>
        <w:t>https://mcp.opencaselaw.ch/entscheid/ge_gerichte_C_7225_2021</w:t>
      </w:r>
    </w:p>
    <w:p>
      <w:r>
        <w:t>FR: GE_GERICHTE C/7225/2021 du 20 juin 2017</w:t>
      </w:r>
    </w:p>
    <w:p>
      <w:r>
        <w:t>IT: GE_GERICHTE C/7225/2021 del 20 giugno 2017</w:t>
      </w:r>
    </w:p>
    <w:p>
      <w:pPr>
        <w:pStyle w:val="Heading2"/>
      </w:pPr>
      <w:r>
        <w:t>Erwägungen</w:t>
      </w:r>
    </w:p>
    <w:p>
      <w:r>
        <w:rPr>
          <w:b/>
        </w:rPr>
        <w:t>E. 1</w:t>
      </w:r>
    </w:p>
    <w:p>
      <w:r>
        <w:t>er février 2013 consid. 1.2). En tant qu'elle statue sur l'instruction, la présente ordonnance peut être portée dans les trente jours qui suivent sa notification avec expédition complète (art. 100 al. 1 LTF) par-devant le Tribunal fédéral par la voie du recours en matière civile, conformément aux art. 72 ss de la loi fédérale sur le Tribunal fédéral du 17 juin 2005 (LTF; RS 173.110 ), dans la mesure restreinte de l'art. 93 LTF.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