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C/7192/2023 vom 18. Juli 2023</w:t>
      </w:r>
    </w:p>
    <w:p>
      <w:r>
        <w:t>GE Cour de justice, 2023-07-18, FR</w:t>
      </w:r>
    </w:p>
    <w:p>
      <w:r>
        <w:rPr>
          <w:b/>
        </w:rPr>
        <w:t xml:space="preserve">Quelle: </w:t>
      </w:r>
      <w:r>
        <w:t>https://mcp.opencaselaw.ch/entscheid/ge_gerichte_C_7192_2023</w:t>
      </w:r>
    </w:p>
    <w:p>
      <w:r>
        <w:t>FR: GE_GERICHTE C/7192/2023 du 18 juillet 2023</w:t>
      </w:r>
    </w:p>
    <w:p>
      <w:r>
        <w:t>IT: GE_GERICHTE C/7192/2023 del 18 luglio 2023</w:t>
      </w:r>
    </w:p>
    <w:p>
      <w:pPr>
        <w:pStyle w:val="Heading2"/>
      </w:pPr>
      <w:r>
        <w:t>Volltext</w:t>
      </w:r>
    </w:p>
    <w:p>
      <w:r>
        <w:t>Genève Cour de Justice (Cour civile) Chambre des baux et loyers 18.07.2023 C/7192/2023</w:t>
      </w:r>
    </w:p>
    <w:p>
      <w:r>
        <w:t>C/7192/2023 ACJC/975/2023 du 18.07.2023 sur JTBL/447/2023 ( SBL ) RÉPUBLIQUE ET CANTON DE GENÈVE POUVOIR JUDICIAIRE C/7192/2023 ACJC/975/2023 ARRÊT DE LA COUR DE JUSTICE Chambre des baux et loyers DU MARDI 18 JUILLET 2023 Entre Monsieur A______ et Madame B______ , domiciliés ______, appelants d'un jugement rendu par le Tribunal des baux et loyers le 1 er juin 2023, comparant en personne, et Madame C______ , domiciliée ______, intimée, comparant par Me Nadia Isabel CLERIGO, avocate, Siegrist &amp; Lazzarotto Avocats, quai des Bergues 23, 1201 Genève, en l'étude de laquelle elle fait élection de domicile. Attendu, EN FAIT , que par jugement JTBL/447/2023 du 1 er juin 2023, le Tribunal des baux et loyers, statuant par voie de procédure sommaire, a condamné A______ et B______, conjointement et solidairement, à payer à C______ la somme de 59'320 fr. 77, plus intérêts à 5% dès le 1 er avril 2022, en lien avec l'appartement de 4 pièces situé au 3 ème étage de l'immeuble sis route 1______ no. _______ à D______ (ch. 1 du dispositif), débouté les parties de toutes autres conclusions (ch. 2) et dit que la procédure était gratuite (ch. 3); Que par acte expédié à la Cour de justice le 11 juillet 2023, A______ et B______ ont formé appel de ce jugement, concluant - principalement - à son annulation; Qu'ils ont préalablement conclu à l'octroi de l'effet suspensif; Que dans ses déterminations du 17 juillet 2023, C______ s'en est rapportée à justice sur cette question; Considérant, EN DROIT , que l'appel est recevable contre les décisions finales et les décisions incidentes de première instance (art. 308 al. 1 let. a CPC); que dans les affaires patrimoniales, l'appel est recevable si la valeur litigieuse au dernier état des conclusions est de 10'000 fr. au moins (art. 308 al. 2 CPC); Que l'appel suspend la force de chose jugée et le caractère exécutoire de la décision dans la mesure des conclusions prises en appel (art. 315 al. 1 CPC); Qu'en l'espèce, la valeur litigieuse est supérieure à 10'000 fr., de sorte que la voie de l'appel est ouverte; Qu'en vertu de l'art. 315 al. 1 CPC, l'appel formé par A______ et B______ a automatiquement suspendu la force de chose jugée et le caractère exécutoire du jugement attaqué, sans que la Cour ait besoin de statuer sur ce point; Que la conclusion préalable des appelants est dès lors dénuée d'objet, ce qu'il convient de constater. * * * * * PAR CES MOTIFS, La présidente ad interim de la Chambre des baux et loyers : Statuant sur requête de restitution de l'effet suspensif : Constate que cette requête est sans objet. Déboute les parties de toutes autres conclusions. Siégeant : Madame Nathalie RAPP, présidente ad interim ; Madame Joëlle DEBONNEVILLE, greffière. La présidente ad interim : Nathalie RAPP La greffière : Joëlle DEBONNEVILLE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