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C/7165/2019 vom 22. September 2020</w:t>
      </w:r>
    </w:p>
    <w:p>
      <w:r>
        <w:t>GE Cour de justice, 2020-09-22, FR</w:t>
      </w:r>
    </w:p>
    <w:p>
      <w:r>
        <w:rPr>
          <w:b/>
        </w:rPr>
        <w:t xml:space="preserve">Quelle: </w:t>
      </w:r>
      <w:r>
        <w:t>https://mcp.opencaselaw.ch/entscheid/ge_gerichte_C_7165_2019</w:t>
      </w:r>
    </w:p>
    <w:p>
      <w:r>
        <w:t>FR: GE_GERICHTE C/7165/2019 du 22 septembre 2020</w:t>
      </w:r>
    </w:p>
    <w:p>
      <w:r>
        <w:t>IT: GE_GERICHTE C/7165/2019 del 22 settembre 2020</w:t>
      </w:r>
    </w:p>
    <w:p>
      <w:pPr>
        <w:pStyle w:val="Heading2"/>
      </w:pPr>
      <w:r>
        <w:t>Regeste</w:t>
      </w:r>
    </w:p>
    <w:p>
      <w:r>
        <w:t>CC.276; CC.279; CC.285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30 jours et selon la forme prescrite par la loi (art. 130, 131, 142, 311 al. 1 et 2 CPC), l'appel est recevable.</w:t>
      </w:r>
    </w:p>
    <w:p>
      <w:r>
        <w:rPr>
          <w:b/>
        </w:rPr>
        <w:t>E. 1.3</w:t>
      </w:r>
    </w:p>
    <w:p>
      <w:r>
        <w:t>La Cour revoit la cause avec un plein pouvoir d'examen en fait et en droit (art. 310 CPC; ATF 138 III 374 consid. 4.3.1).</w:t>
      </w:r>
    </w:p>
    <w:p>
      <w:r>
        <w:rPr>
          <w:b/>
        </w:rPr>
        <w:t>E. 1.4</w:t>
      </w:r>
    </w:p>
    <w:p>
      <w:r>
        <w:t>La procédure simplifiée s'applique aux procédures indépendantes, à savoir celles qui ne portent que sur les prétentions de l'enfant relevant du droit de la famille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2</w:t>
      </w:r>
    </w:p>
    <w:p>
      <w:r>
        <w:t>Les parties ont allégué des faits nouveaux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Les pièces nouvelles sont ainsi recevables, de même que les faits nouveaux qui s'y rapportent.</w:t>
      </w:r>
    </w:p>
    <w:p>
      <w:r>
        <w:rPr>
          <w:b/>
        </w:rPr>
        <w:t>E. 3</w:t>
      </w:r>
    </w:p>
    <w:p>
      <w:r>
        <w:t>L'appelant fait grief au Tribunal d'avoir violé son droit d'être entendu en tant qu'il n'a pas statué sur ses conclusions tendant à l'ordonnance d'une expertise du groupe familiale et d'un suivi thérapeutique par l'intimé ainsi qu'au conditionnement du droit de visite à la poursuite de ce suivi.</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5D_34/2019 du 11 juin 2019 consid. 4.2).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consid. 3.2).</w:t>
      </w:r>
    </w:p>
    <w:p>
      <w:r>
        <w:rPr>
          <w:b/>
        </w:rPr>
        <w:t>E. 3.2</w:t>
      </w:r>
    </w:p>
    <w:p>
      <w:r>
        <w:t>En l'espèce, dans son action alimentaire et en fixation des relations personnelles, l'appelant a notamment conclu à ce que le Tribunal ordonne la mise en oeuvre d'une expertise psychiatrique du groupe familial, ordonne à l'intimé de mettre en oeuvre un suivi individuel, sous la menace de la peine prévue à l'art. 292 CP et subordonne le droit aux relations personnelles et tout élargissement ultérieur à la poursuite de ce suivi. Le Tribunal a toutefois débouté l'appelant de ses conclusions sur ces points sans motiver son jugement à cet égard. Ce faisant, il a violé le droit d'être entendu de l'appelant. Cela étant, cette violation demeure sans conséquence dans le cas d'espèce, dans la mesure où elle peut être réparée par la Cour, qui dispose d'un plein pouvoir d'examen en fait et en droit. Il ne se justifie dès lors pas d'annuler le jugement querellé et de renvoyer la cause au Tribunal pour ce motif, étant précisé que les conclusions précitées seront examinées dans les considérants qui suivent.</w:t>
      </w:r>
    </w:p>
    <w:p>
      <w:r>
        <w:rPr>
          <w:b/>
        </w:rPr>
        <w:t>E. 4</w:t>
      </w:r>
    </w:p>
    <w:p>
      <w:r>
        <w:t>L'appelant reproche au Tribunal de ne pas avoir ordonné d'expertise psychiatrique du groupe familial en violation de l'art. 183 al. 1 CPC. Il conclut à ce que la Cour ordonne sa mise en oeuvre. 4.1.1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in Commentaire romand, Code de procédure civile, 2019, n. 3 et 4 ad art. 183 CPC).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w:t>
      </w:r>
    </w:p>
    <w:p>
      <w:r>
        <w:rPr>
          <w:b/>
        </w:rPr>
        <w:t>E. 4.2</w:t>
      </w:r>
    </w:p>
    <w:p>
      <w:r>
        <w:t>En l'espèce, le SEASP a rendu un rapport détaillé prenant en compte toutes les particularités du cas d'espèce, en particulier le conflit marqué entre les parents, les procédures pénales à l'encontre du père et le fait que ce dernier n'a jamais eu de relations personnelles avec l'enfant. Sur cette base, il a préconisé la fixation d'un droit de visite médiatisé et l'instauration d'une curatelle, mesures qui préservent adéquatement le bien de l'enfant (cf. infra consid. 5.2) et avec lesquelles la mère était d'accord. Il n'existe par ailleurs aucun motif permettant de douter des conclusions du SEASP. Dans ces conditions et compte tenu du droit de visite envisagé à ce stade, une expertise psychiatrique du groupe familial apparaissait superflue. Il ne peut dès lors être reproché au Tribunal de ne pas l'avoir ordonnée. Pour les mêmes motifs, la Cour ne donnera pas suite à la conclusion de l'appelant tendant à la mise en oeuvre de cette expertise, la cause étant en état d'être jugée.</w:t>
      </w:r>
    </w:p>
    <w:p>
      <w:r>
        <w:rPr>
          <w:b/>
        </w:rPr>
        <w:t>E. 5</w:t>
      </w:r>
    </w:p>
    <w:p>
      <w:r>
        <w:t>L'appelant fait grief au Tribunal de ne pas avoir ordonné à l'intimé de mettre en oeuvre un suivi thérapeutique individuel sous la menace de la peine prévue à l'art. 292 CP, ni conditionné son droit aux relations personnelles ainsi que tout élargissement ultérieur à la poursuite de ce suivi, en violation de l'at. 307 al. 3 CC.</w:t>
      </w:r>
    </w:p>
    <w:p>
      <w:r>
        <w:rPr>
          <w:b/>
        </w:rPr>
        <w:t>E. 5.1</w:t>
      </w:r>
    </w:p>
    <w:p>
      <w:r>
        <w:t>Selon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L'autorité de protection peut notamment donner l'instruction d'effectuer une thérapie (arrêt du Tribunal fédéral 5A_457/2009 du 9 décembre 2009 consid. 4.3). Le principe de la proportionnalité est la pierre angulaire du système de protection civile de l'enfant, la mesure ordonnée devant notamment être apte à atteindre le but de protection visé et nécessaire à cette fin (principe de la proportionnalité au sens étroit; arrêts du Tribunal fédéral 5A_7/2016 du 15 juin 2016 consid. 3.3.1; 5A_840/2010 du 31 mai 2011 consid. 3.1.2). 5.2.1 La Cour relève avant toute chose que bien que l'appelant conclue formellement à l'annulation du chiffre 2 du dispositif du jugement, il ne ressort pas de son appel qu'il remette en cause l'étendue et les modalités du droit de visite telles que fixées par le premier juge, étant en tout état relevé que celles-ci correspondent aux recommandations du SEASP et apparaissent conformes à l'intérêt de l'enfant. Le chiffre 2 du dispositif du jugement entrepris sera dès lors confirmé. 5.2.2 L'appelant reproche toutefois au Tribunal de ne pas avoir, en parallèle, ordonné les mesures susmentionnées, qu'il estime nécessaires et adéquates afin que l'intimé puisse bénéficier des conseils et de l'assistance nécessaire dans la reprise de contact avec l'enfant. En l'occurrence, le droit de visite de l'intimé sur son fils a été fixé à raison d'une heure par semaine au sein d'une structure permettant des visites médiatisées, une curatelle d'organisation et de surveillance de ce droit de visite ayant en outre été instaurée. Au vu de ces mesures, qui impliquent l'intervention de tiers objectifs soucieux du bien de l'enfant, l'intimé bénéficiera d'ores et déjà des conseils et de l'assistance nécessaire pour la prise de contact avec A______, sans qu'il apparaisse nécessaire d'ordonner des mesures supplémentaires. Le bien de l'enfant est en effet préservé par la présence d'un thérapeute durant l'exercice du droit de visite, qui permet de veiller en tout temps à l'adéquation du père à l'égard de son fils. Le curateur pourra également s'assurer que le lien père-fils évolue favorablement et saisir les autorités compétentes si tel ne devait pas être le cas. Dans ces conditions, la Cour ne discerne pas ce que les mesures sollicitées apporteraient de plus, si ce n'est une entrave à la liberté personnelle de l'intimé. Enfin, dans l'hypothèse d'un élargissement futur du droit de visite, la situation serait réévaluée par l'autorité compétente, de sorte qu'il n'est pas utile, en l'état, de conditionner celui-ci à la poursuite d'un suivi thérapeutique. L'appelant sera dès lors débouté de ses conclusions tendant à ce que des mesures supplémentaires soient ordonnées. Cela étant, il ressort de la procédure que l'intimé a entamé un suivi thérapeutique auprès du Dr G______. La Cour, à l'instar du Tribunal, exhortera donc celui-ci à poursuivre cette thérapie. Un tel suivi ne pourra en effet que s'avérer positif, en particulier dans la perspective d'un éventuel élargissement ultérieur du droit de visite. Le chiffre 4 du dispositif du jugement entrepris mentionne toutefois D______ comme lieu de la thérapie. Afin de ne pas restreindre l'intimé dans le choix de son thérapeute - une relation de confiance étant nécessaire pour toute thérapie - et dans la mesure où il est actuellement suivi par le Dr G______, l'indication du lieu de la thérapie sera supprimée du chiffre 4 du dispositif du jugement.</w:t>
      </w:r>
    </w:p>
    <w:p>
      <w:r>
        <w:rPr>
          <w:b/>
        </w:rPr>
        <w:t>E. 6</w:t>
      </w:r>
    </w:p>
    <w:p>
      <w:r>
        <w:t>ans de l'enfant, de 500 fr. de 6 à 10 ans, de 700 fr. de 10 à 16 ans et de 800 fr. de 16 ans jusqu'à sa majorité, voire au-delà en cas d'études ou de formation sérieuses et régulières. Le chiffre 6 du dispositif du jugement sera par conséquent annulé et il sera statué conformément à ce qui précède. Le chiffre 5 sera quant à lui confirmé, les charges de l'enfant n'étant actuellement pas couvertes.</w:t>
      </w:r>
    </w:p>
    <w:p>
      <w:r>
        <w:rPr>
          <w:b/>
        </w:rPr>
        <w:t>E. 7</w:t>
      </w:r>
    </w:p>
    <w:p>
      <w:r>
        <w:t>L'appelant conclut enfin à ce que l'intimé soit condamné à prendre en charge par moitié ses frais extraordinaires, sans soulever la moindre critique à l'égard du raisonnement du premier juge sur ce point. Faute de motivation, sa conclusion est irrecevable (art. 311 al. 1 CPC). La Cour de céans fait en tout état sienne l'argumentation du Tribunal, qui a retenu à raison qu'il ne convenait pas de tenir compte de frais extraordinaires dont l'existence n'avait en l'état pas été démontrée.</w:t>
      </w:r>
    </w:p>
    <w:p>
      <w:r>
        <w:rPr>
          <w:b/>
        </w:rPr>
        <w:t>E. 8.1</w:t>
      </w:r>
    </w:p>
    <w:p>
      <w:r>
        <w:t>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8.2</w:t>
      </w:r>
    </w:p>
    <w:p>
      <w:r>
        <w:t>Les frais judiciaires d'appel seront arrêtés à 800 fr. (art. 32 et 35 RTFMC) et mis à la charge des parties à raison d'une moitié chacune, compte tenu de l'issue et de la nature du litige (art. 106 al. 2 et 107 al. 1 let. c CPC). Les parties étant au bénéfice de l'assistance juridique, les frais judiciaires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 Pour le surplus, chaque partie supportera ses propres dépens d'appel (art. 107 al. 1 let. c CPC). * * * * * PAR CES MOTIFS, La Chambre civile : A la forme : Déclare recevable l'appel interjeté le 7 février 2020 par A______ contre le jugement JTPI/142/2020 rendu le 7 janvier 2020 par le Tribunal de première instance dans la cause C/7165/2019-19. Au fond : Annule les chiffres 4 et 6 du dispositif de ce jugement et, statuant à nouveau sur ces points : Exhorte C______ à poursuivre son suivi thérapeutique. Condamne C______ à verser en mains de B______, à titre de contribution à l'entretien de A______ B______, par mois et d'avance, allocations familiales non comprises, dès le 1 er février 2021, les sommes de 460 fr. jusqu'aux 6 ans de l'enfant, de 500 fr. de 6 à 10 ans, de 700 fr. de 10 à 16 ans et de 800 fr. de 16 ans jusqu'à sa majorité, voire au-delà en cas d'études ou de formation sérieuses et régulières. Confirme le jugement entrepris pour le surplus. Déboute les parties de toutes autres conclusions. Sur les frais d'appel : Arrête les frais judiciaires d'appel à 800 fr. et les met à la charge des parties à raison d'une moitié chacune. Dit qu'ils sont provisoirement supportés par l'Etat de Genève. Dit que chaque partie supporte ses propres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