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C/7030/2019 vom 4. Juni 2024</w:t>
      </w:r>
    </w:p>
    <w:p>
      <w:r>
        <w:t>GE Cour de justice, 2024-06-04, FR</w:t>
      </w:r>
    </w:p>
    <w:p>
      <w:r>
        <w:rPr>
          <w:b/>
        </w:rPr>
        <w:t xml:space="preserve">Quelle: </w:t>
      </w:r>
      <w:r>
        <w:t>https://mcp.opencaselaw.ch/entscheid/ge_gerichte_C_7030_2019</w:t>
      </w:r>
    </w:p>
    <w:p>
      <w:r>
        <w:t>FR: GE_GERICHTE C/7030/2019 du 4 juin 2024</w:t>
      </w:r>
    </w:p>
    <w:p>
      <w:r>
        <w:t>IT: GE_GERICHTE C/7030/2019 del 4 giugno 2024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En l'espèce, le litige porte sur les relations personnelles entre l'appelant et ses deux enfants mineurs, soit sur une affaire non pécuniaire, de sorte que la voie de l'appel est ouverte indépendamment de la valeur litigieuse (arrêt du Tribunal fédéral 5A_611/2019 du 29 avril 2020 consid. 1). L'appel a par ailleurs été formé dans le délai de 30 jours prescrit par la loi (art. 311 al. 1 CPC), auprès de l'autorité compétente (art. 120 al. 1 let. a LOJ), de sorte qu'il est recevable dans cette mesure.</w:t>
      </w:r>
    </w:p>
    <w:p>
      <w:r>
        <w:rPr>
          <w:b/>
        </w:rPr>
        <w:t>E. 1.2</w:t>
      </w:r>
    </w:p>
    <w:p>
      <w:r>
        <w:t>L'appel peut être formé pour violation du droit (art. 310 let. a CPC) et constatation inexacte des faits (art. 310 let. b CPC). La présente cause est soumise aux maximes d'office et inquisitoire illimitée dès lors qu'elle concerne les enfants mineurs des parties (art. 296 al. 1 et al. 3 CPC), de sorte que la Cour n'est liée ni par les conclusions des parties sur ce point ni par l'interdiction de la reformatio in pejus (ATF 129 III 417 consid. 2.1.1; arrêt du Tribunal fédéral 5A_843/2018 du 12 février 2020 consid. 5.2).</w:t>
      </w:r>
    </w:p>
    <w:p>
      <w:r>
        <w:rPr>
          <w:b/>
        </w:rPr>
        <w:t>E. 1.3</w:t>
      </w:r>
    </w:p>
    <w:p>
      <w:r>
        <w:t>L'intimée conclut à l'irrecevabilité de l'appel, faisant valoir que le mémoire d'appel du 1 er septembre 2023 n'est pas suffisamment motivé et n'articule aucune conclusion.</w:t>
      </w:r>
    </w:p>
    <w:p>
      <w:r>
        <w:rPr>
          <w:b/>
        </w:rPr>
        <w:t>E. 1.3.1</w:t>
      </w:r>
    </w:p>
    <w:p>
      <w:r>
        <w:t>Selon l'art. 311 al. 1 CPC, l'appel doit être introduit par un acte écrit et motivé. La motivation est une condition légale de recevabilité qui doit être examinée d'office. Afin de respecter cette exigence,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4A_61/2016 du 10 mai 2016 consid. 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elle ne satisfait pas aux exigences de l'art. 311 al. 1 CPC et l'instance d'appel ne peut entrer en matière (arrêts du Tribunal fédéral 5A_438/2012 du 27 août 2012 consid. 2.2; 4A_97/2014 déjà cité consid. 3.3). Ni la maxime inquisitoire illimitée ni la maxime d'office ne libèrent les parties de l'obligation de motiver formellement les actes adressés à l'instance d'appel (ATF 138 III 374 consid. 4.3.1; arrêts du Tribunal fédéral 5A_236/2016 ; 5A_239/2016 du 15 janvier 2018 consid. 3.2.3 et 3.3.3). Même si l'art. 311 al. 1 CPC ne le mentionne pas, le mémoire d'appel doit contenir des conclusions, lesquelles doivent indiquer sur quels points l'appelant demande la modification ou l'annulation de la décision attaquée. Ces conclusions doivent en principe être libellées de telle manière que l'autorité d'appel puisse, s'il y a lieu, les incorporer sans modification au dispositif de sa propre décision. L'interdiction du formalisme excessif commande exceptionnellement d'entrer en matière sur un appel formellement dépourvu de conclusions, si ce que demande l'appelant résulte clairement de sa motivation, cas échéant en relation avec le jugement attaqué. Les conclusions doivent être interprétées à la lumière des motifs (arrêt du Tribunal fédéral 4A_462/2022 du 6 mars 2023 consid. 6.1 et les références citées). La motivation d'un acte d'appel doit être entièrement contenue dans le mémoire d'appel lui-même. Elle ne saurait dès lors être complétée ou corrigée ultérieurement, une fois le délai d'appel échu. Si elle fait défaut, la juridiction d'appel n'entre pas en matière. Il en va de même pour les conclusions d'appel. En effet, il ne peut être remédié à un défaut de motivation ou à des conclusions déficientes, de tels vices n'étant pas d'ordre formel et affectant l'appel de manière irréparable, ce même si le mémoire émane d'une personne sans formation juridique (arrêt du Tribunal fédéral 5A_959/2023 du 23 janvier 2024 consid. 3.2. et les références citées).</w:t>
      </w:r>
    </w:p>
    <w:p>
      <w:r>
        <w:rPr>
          <w:b/>
        </w:rPr>
        <w:t>E. 1.3.2</w:t>
      </w:r>
    </w:p>
    <w:p>
      <w:r>
        <w:t>En l'espèce, l'intimée relève avec raison que le mémoire d'appel est rédigé de façon peu lisible et confuse, qu'il est dépourvu de conclusions formelles et qu'il comporte des griefs insuffisamment motivés. Cela ne suffit toutefois pas à rendre l'appel irrecevable dans son ensemble. En effet, à sa lecture, l'on comprend que l'appelant reproche au Tribunal d'avoir refusé d'ordonner la reprise des relations personnelles entre lui-même et ses enfants dans un cadre thérapeutique, cas échéant selon les modalités spécifiées dans sa requête de mesures provisionnelles du 21 avril 2022, et l'on parvient à discerner les raisons pour lesquelles il considère que le raisonnement du Tribunal serait erroné à ce sujet. L'appel est par conséquent recevable sur cette question et les griefs de l'appelant seront traités ci-après (cf. consid. 2). L'appel est en revanche irrecevable en tant que l'appelant déclare "s'opposer aux frais judiciaires de première instance", dans la mesure le jugement attaqué ne fait l'objet d'aucune critique motivée sur ce point. Les conclusions de l'appelant tendant à la convocation d'une audience devant la Cour et - implicitement - à l'audition des témoins telle que requise en première instance sont également irrecevables, faute de motivation. En particulier, l'appelant n'expose pas en quoi ces mesures probatoires seraient susceptibles de modifier l'issue du litige, de sorte qu'il n'y a pas lieu d'entrer en matière sur ces conclusions. Au surplus, il ne saurait être tenu compte des conclusions et griefs motivés que l'appelant a formulés pour la première fois dans sa réplique, celle-ci ayant été déposée après l'échéance du délai d'appel.</w:t>
      </w:r>
    </w:p>
    <w:p>
      <w:r>
        <w:rPr>
          <w:b/>
        </w:rPr>
        <w:t>E. 2</w:t>
      </w:r>
    </w:p>
    <w:p>
      <w:r>
        <w:t>2.1.1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 du Tribunal fédéral 5A_177/2022 du 14 septembre 2022 consid. 3.1.1).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Cela étant,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 du Tribunal fédéral 5A_618/2017 du 2 février 2018 consid. 4.2 et les références). La fixation du droit aux relations personnelles relève de l'appréciation du juge du fait, qui jouit pour cela d'un large pouvoir et applique les règles du droit et de l'équité (ATF 142 III 617 consid. 3.2.5; arrêts du Tribunal fédéral 5A_669/2019 du 7 février 2020 consid. 6.3; 5A_334/2018 du 7 août 2018 consid. 3.1 et les références citées). 2.1.2 Les conditions de la modification des relations personnelles instaurées dans un jugement de divorce sont définies par les dispositions relatives aux effets de la filiation, à savoir l'art. 273 CC pour le principe et l'art. 274 CC pour les limites (art. 134 al. 2 CC). L'action en modification ne doit pas aboutir à recommencer la procédure de divorce; il ressort de la systématique de l'art. 134 CC qu'il faut, au contraire, qu'un changement notable des circonstances soit intervenu (art. 134 al. 1 in fine CC), changement qui impose impérativement, pour le bien de l'enfant, une modification de la réglementation adoptée dans le jugement de divorce (ATF 100 II 76 consid. 1; arrêts du Tribunal fédéral 5A_381/2010 du 21 juillet 2010 consid. 4.2; 5C.271/2001 du 19 mars 2002 consid. 3b, in FamPra.ch 2002 p. 601). Cependant, cela ne signifie pas que la modification de la réglementation du droit de visite doive être soumise à des exigences particulièrement strictes. Il suffit que le pronostic du juge du divorce sur les effets des relations personnelles entre le parent auquel la garde n'a pas été confiée et l'enfant se révèle erroné et que le maintien de la réglementation actuelle risque de porter atteinte au bien de l'enfant (ATF 111 II 405 consid. 3; 100 II 81 consid. 1 à 3; arrêt du Tribunal fédéral 5A_120/2013 du 23 mai 2013 consid. 2.1.1). 2.1.3 La réglementation du droit de visite ne saurait dépendre uniquement de la volonté de l'enfant; il faut déterminer, dans chaque cas particulier, pourquoi celui-ci adopte une attitude défensive à l'endroit du parent non gardien et si l'exercice du droit de visite risque réellement de porter préjudice à son intérêt. Pour apprécier le poids qu'il convient d'accorder à l'avis de l'enfant, son âge et sa capacité à se forger une volonté autonome, ce qui est en règle générale le cas aux alentours de 12 ans révolus, ainsi que la constance de son avis sont centraux. Si un enfant capable de discernement refuse de manière catégorique et répétée, sur le vu de ses propres expériences, d'avoir des contacts avec l'un de ses parents, il faut les exclure en raison du bien de l'enfant; en effet, face à une forte opposition, un contact forcé est incompatible avec le but des relations personnelles ainsi qu'avec les droits de la personnalité de l'enfant (ATF 127 III 295 consid. 4a; 126 III 219 consid. 2b; arrêts du Tribunal fédéral 5A_415/2020 du 18 mars 2021 consid. 5.1; 5A_56/2020 du 17 août 2020 consid. 4.1; 5A_984/2019 du 20 avril 2020 consid. 3.3 et les références). 2.1.4 Pour trancher le sort des enfants, le juge peut ordonner une expertise. Il n'est en principe pas lié par le rapport de l'expert, qu'il doit apprécier en tenant compte de l'ensemble des autres preuves administrées. Il ne saurait toutefois, sans motifs sérieux, substituer son opinion à celle de l'expert; il est par ailleurs tenu de motiver sa décision à cet égard (ATF 142 IV 49 consid. 2.1.3; 141 IV 369 consid. 6.1; 138 III 193 consid. 4.3.1; parmi plusieurs : arrêts du Tribunal fédéral 6B_976/2020 du 3 décembre 2020 consid. 1.2; 5A_381/2020 du 1 er septembre 2020 consid. 4.1; 6B_1311/2019 du 5 mars 2020 consid. 2.1 et les références). On admet de tels motifs sérieux lorsque l'expertise contient des contradictions, lorsque des circonstances bien établies viennent en ébranler la crédibilité,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129 I 49 consid. 4; arrêts du Tribunal fédéral 5A_223/2012 du 13 juillet 2012 consid. 5.3.2 et 4A_204/2010 du 29 juin 2010 consid. 3.1.1). En l'absence de tels motifs, le juge s'expose au reproche d'arbitraire s'il écarte de l'expertise judiciaire (ATF 110 Ib 52 consid. 2; 101 IV 129 consid. 3a; arrêt du Tribunal fédéral 5A_485/2012 du 11 septembre 2012 consid. 4.1).</w:t>
      </w:r>
    </w:p>
    <w:p>
      <w:r>
        <w:rPr>
          <w:b/>
        </w:rPr>
        <w:t>E. 2.2</w:t>
      </w:r>
    </w:p>
    <w:p>
      <w:r>
        <w:t>En l'espèce, il est constant qu'au cours des cinq dernières années, C______ et D______ ont refusé de manière catégorique et répétée d'avoir des contacts avec leur père, expliquant qu'ils se sentaient mal à l'aise ou même angoissés en sa présence, ayant souvent été confrontés, lorsqu'ils étaient plus jeunes, à son comportement impulsif et perturbant - ce qui était dû notamment à sa maladie (trouble affectif bipolaire). Ils ont confirmé leur volonté de ne pas voir leur père devant le SEASP, la curatrice, les experts, les pédopsychiatres consultés en 2021 et le Tribunal, sans jamais varier dans leur position et/ou leurs explications à ce sujet. Les thérapies individuelles mises en place dès février 2021 pour les encourager à restaurer progressivement le lien paternel n'ont donné aucun résultat, les pédopsychiatres ayant constaté que les mineurs étaient opposés à tout suivi thérapeutique visant à rétablir ce lien, d'une part, et que leur imposer un tel suivi ne ferait que renforcer leur attitude de rejet envers leur père, d'autre part. A la requête de l'appelant, le Tribunal a ordonné un complément d'expertise afin de déterminer si l'attitude défensive des enfants envers leur père pourrait être due à l'influence exercée sur eux par leur mère (syndrome d'aliénation parentale). Dans ce cadre, l'expert a affirmé que C______ et D______ étaient en mesure d'émettre un avis libre et éclairé sur la question des relations personnelles avec leur père et qu'ils disposaient de la capacité de discernement et de la maturité nécessaires pour se déterminer à ce sujet. L'hypothèse d'une aliénation parentale n'entrait pas en considération dans le cas concret : en effet, l'attitude défensive des mineurs s'expliquait par la survenance, durant leur enfance, d'événements qui avaient été traumatisants pour eux et par la relation longtemps perturbée qu'ils avaient expérimentée avec leur père. Selon l'expert, il était important de tenir compte de leur avis, étant précisé qu'ils risquaient de développer des troubles psychiques s'ils étaient contraints à voir leur père contre leur gré. Compte tenu des éléments qui précèdent, en particulier de la volonté clairement exprimée par C______ et - qui sont désormais âgés de 16 et 15 ans -, c'est à bon droit que le Tribunal a renoncé à fixer les relations personnelles entre l'appelant et ses enfants et prescrit qu'à l'avenir, le droit de visite du premier ne pourrait s'exercer que moyennant l'accord des seconds. Au surplus, c'est en vain que l'appelant reproche au premier juge d'avoir fait preuve de "légèreté" en se ralliant aux conclusions des experts. Contrairement à ce qu'il soutient, l'expertise familiale ordonnée par le Tribunal n'a pas été menée de façon superficielle et ne se fonde pas sur les seules explications de l'intimée. Avant de rendre leurs conclusions, les experts ont en effet procédé à de nombreux entretiens avec chacun des membres de la famille, dont cinq entretiens avec l'appelant (quatre entretiens individuels et un entretien en présence des enfants et de la grand-mère paternelle), et recueilli toutes les informations utiles auprès des professionnels entourant le groupe familial (enseignants, pédiatre et pédopsychiatres des enfants, psychiatre et médecin généraliste de l'appelant, curatrice). A cela s'ajoute que les rapports d'expertise sont circonstanciés, clairs et non équivoques, et que les constatations et recommandations des experts sont cohérentes au regard des autres éléments probants figurant au dossier, en particulier le rapport d'évaluation sociale du SEASP et les prises de position émises par les pédopsychiatres des enfants et par la curatrice. Les rapports d'expertise ne suscitent aucun doute sérieux quant au bien-fondé de leurs conclusions, qui sont formulées de manière convaincante. A l'instar du Tribunal, la Cour n'a ainsi aucune raison de s'en écarter. Mal fondé, l'appel sera dès lors rejeté.</w:t>
      </w:r>
    </w:p>
    <w:p>
      <w:r>
        <w:rPr>
          <w:b/>
        </w:rPr>
        <w:t>E. 3</w:t>
      </w:r>
    </w:p>
    <w:p>
      <w:r>
        <w:t>Les frais judiciaires d'appel, comprenant l'émolument de décision et les honoraires de la curatrice, seront arrêtés à 3'854 fr. 15 (art. 95 al. 2 let. e CPC; art. 30 et 35 RTFMC), mis à la charge de l'appelant, qui succombe (art. 106 al. 1 CPC), et partiellement compensés avec l'avance de 1'000 fr. qu'il a versée, acquise à l'Etat de Genève (art. 111 al. 1 CPC). L'appelant sera condamné à verser 2'854 fr. 15 à l'Etat de Genève, soit pour lui les Services financiers du pouvoir judiciaire, lesquels seront invités à verser le même montant à la curatrice. Pour des motifs d'équité liés à la nature familiale du litige, chaque partie supportera ses propres dépens d'appel (art. 107 al. 1 let. c CPC). * * * * * PAR CES MOTIFS, La Chambre civile : A la forme : Déclare recevable l'appel interjeté le 1 er septembre 2023 par A______ contre le jugement JTPI/7506/2023 rendu le 26 juin 2023 par le Tribunal de première instance dans la cause C/7030/2019. Au fond : Confirme ce jugement. Déboute les parties de toutes autres ou contraires conclusions. Sur les frais : Arrête les frais judiciaires d'appel à 3'854 fr. 15, les met à la charge de A______ et les compense partiellement avec l'avance versée, acquise à l'Etat de Genève. Condamne A______ à verser 2'854 fr. 15 à l'Etat de Genève, soit pour lui les Services financiers du pouvoir judiciaire. Invite les Services financiers du pouvoir judiciaire à verser 2'854 fr. 15 à Me E______, avocate, pour ses honoraires de curatrice de représentation. Dit que chaque partie supportera ses propres dépens d'appel. Siégeant : Madame Nathalie RAPP, présidente; Madame Sylvie DROIN, Monsieur Jean REYMOND, juges; Madame Sandra CARRIER, greffière. La présidente : Nathalie RAPP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