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C/6994/2019 vom 24. September 2021</w:t>
      </w:r>
    </w:p>
    <w:p>
      <w:r>
        <w:t>GE Cour de justice, 2021-09-24, FR</w:t>
      </w:r>
    </w:p>
    <w:p>
      <w:r>
        <w:rPr>
          <w:b/>
        </w:rPr>
        <w:t xml:space="preserve">Quelle: </w:t>
      </w:r>
      <w:r>
        <w:t>https://mcp.opencaselaw.ch/entscheid/ge_gerichte_C_6994_2019</w:t>
      </w:r>
    </w:p>
    <w:p>
      <w:r>
        <w:t>FR: GE_GERICHTE C/6994/2019 du 24 septembre 2021</w:t>
      </w:r>
    </w:p>
    <w:p>
      <w:r>
        <w:t>IT: GE_GERICHTE C/6994/2019 del 24 settembre 2021</w:t>
      </w:r>
    </w:p>
    <w:p>
      <w:pPr>
        <w:pStyle w:val="Heading2"/>
      </w:pPr>
      <w:r>
        <w:t>Erwägungen</w:t>
      </w:r>
    </w:p>
    <w:p>
      <w:r>
        <w:rPr>
          <w:b/>
        </w:rPr>
        <w:t>E. 26</w:t>
      </w:r>
    </w:p>
    <w:p>
      <w:r>
        <w:t>mai 2017, pris en charge par C______. h. Le 28 février 2019, A______ est parti à la retraite. Il a été remplacé par une personne au bénéfice d'un emploi de solidarité, le poste étant désormais intitulé " gestionnaire IT ". i. Par demande du 21 mars 2019, déclarée non conciliée le 2 mai 2019 et introduite devant le Tribunal le 2 septembre 2019, A______ a assigné C______ en paiement de la somme brute de 140'875 fr. à titre de salaire, avec intérêts à 5% l'an dès le 12 août 2017. En substance, A______ a fait valoir que la suppression, en janvier 2016, du barème salarial prévu par la loi et son remplacement par un salaire " conforme aux pratiques du marché complémentaire de l'emploi " signifiaient qu'il aurait dû bénéficier des prestations salariales maximales prévues pour les employés fixes de C______, soit 8'500 fr. bruts par mois, ce dès mars 2016. Une différence salariale de 4'025 fr. était donc due depuis cette date. j. C______ a conclu au déboutement de A______. k. Le Tribunal a entendu les parties et plusieurs témoins dont les déclarations ont été reprises ci-dessus dans la mesure utile. l. Lors de l'audience du 6 juillet 2020, les parties ont plaidé et persisté dans leurs conclusions, après quoi le Tribunal a gardé la cause à juger. D. Dans le jugement entrepris, le Tribunal a retenu que A______ avait été engagé dans le cadre d'un emploi de solidarité pour un salaire mensuel brut de 4'000 fr. correspondant à une fonction à responsabilité selon l'art. 43 aRMC. Ses prestations étaient bonnes et il assumait effectivement certaines responsabilités. Cela étant, C______ lui avait également fourni une aide pour se réinsérer professionnellement, en lui proposant des coachings personnalisés, des formations et des conseils pour favoriser son retour sur le marché primaire de l'emploi. Cette aide était directement liée à son statut d'employé de solidarité. La grille de rémunération dont se prévalait A______ ne concernait que les employés pour lesquels l'association était libre de fixer le salaire, à l'exclusion des personnes bénéficiant, comme lui, d'un emploi de solidarité. Or, rien ne permettait de retenir que son contrat aurait été modifié en 2016, avec pour effet de lui faire perdre son statut d'employé de solidarité et de l'assimiler à un employé du secteur primaire. Ainsi, il n'y avait pas lieu de lui allouer, par égalité de traitement, un salaire supérieur. EN DROIT 1.             1.1 L'appel est recevable pour avoir été interjeté auprès de l'autorité compétente (art. 124 let. a LOJ), dans le délai utile de trente jours et suivant la forme prescrite par la loi (art. 130, 131, 142 al. 1, 145 al. 1 let. a, 146 al. 1 et 311 CPC), à l'encontre d'une décision finale de première instance rendue dans une affaire de nature pécuniaire, qui statue sur des conclusions dont la valeur litigieuse, compte tenu de l'ensemble des prétentions demeurées litigieuses en première instance, est supérieure à 10'000 fr. (art. 91 al. 1 et 308 al. 1 let. a et al. 2 CPC). 1.2 L'appel peut être formé pour violation du droit et/ou constatation inexacte des faits (art. 310 CPC). L'instance d'appel dispose ainsi d'un plein pouvoir d'examen de la cause en fait et en droit. En particulier, elle contrôle librement l'appréciation des preuves effectuées par le juge de première instance et vérifie si celui-ci pouvait admettre les faits qu'il a retenus (art. 157 CPC en lien avec l'art. 310 let. b CPC; ATF 138 III 374 consid. 4.3.1; arrêt du Tribunal fédéral 4D_72/2017 du 19 mars 2018 consid. 2). 1.3 La valeur litigieuse étant supérieure à 30'000 fr., la procédure ordinaire est applicable (art. 219 et suivants CPC). La cause est soumise aux maximes des débats (art. 55 al. 1 CPC) et de disposition (art. 58 al. 1 CPC). 2.             L'appelant fait grief au Tribunal d'avoir mal apprécié son statut d'employé eu égard à l'aide que l'intimée lui a apportée dans ses recherches d'emploi. Elle lui reproche également d'avoir retenu que la grille salariale de l'intimée n'était pas applicable pour fixer le montant de sa rémunération. 2.1 2.1.1 Selon l'art. 322 al. 1 CO, l'employeur paie au travailleur le salaire convenu, usuel ou fixé par un contrat-type de travail ou par une convention collective. En droit suisse, la rémunération du travailleur obéit au principe de la liberté contractuelle : le salaire convenu fait foi (Wyler/Heinzer, Droit du travail, 4 ème éd. 2019, p. 183). Il n'en va toutefois pas ainsi quand les parties sont soumises, de quelque manière que ce soit, à une convention collective de travail prévoyant un salaire supérieur à celui qu'elles ont arrêté ou si une loi ou un processus d'autorisation administrative fixent un salaire minimal; dans ce cas, le salaire supérieur remplace le salaire convenu (art. 322 al. 1 et 357 al. 2 CO; ATF 129 III 618 consid. 5.1; 122 III 110 , consid. 4; arrêt du Tribunal fédéral 4A_425/2017 du 10 avril 2018 consid. 3.1 et 3.3). 2.1.2 Jurisprudence et doctrine concluent à l'existence d'un principe général d'égalité de traitement déduit de l'art. 328 CO, obligeant l'employeur à protéger la personnalité de l'employé et des art. 28 et suivants CC instituant les règles générales de protection de la personnalité. Une décision subjective de l'employeur ne contrevient à l'interdiction de discriminer que dans la mesure où elle exprime une dépréciation de la personnalité du travailleur et lui porte ainsi atteinte. Une telle situation n'est réalisée que si l'employé est placé dans une situation clairement moins avantageuse qu'un grand nombre d'autres employés; tel n'est en revanche pas le cas lorsque l'employeur favorise simplement quelques employés (ATF 129 III 276 consid. 3.1 et les références citées; arrêt du Tribunal fédéral 4A_651/2017 du 4 avril 2018 consid. 3.3). Ces principes ont été développés dans le cadre des bonus et gratifications, le Tribunal fédéral rappelant régulièrement le principe de la liberté contractuelle en ce qui concerne le salaire. Ainsi, selon la doctrine, le principe d'égalité de traitement ne s'applique qu'aux prestation non réglées contractuellement, soit les prestations discrétionnaires de l'employeur ou aux situations réglées collectivement (un licenciement collectif par exemple; Wyler/Heinzer, op. cit. , p. 472 et suivante). Hors les cas particuliers d'interdiction de discrimination spécialement réglementés (par exemple à raison du sexe ou en lien avec la libre circulation des personnes), il n'est ainsi pas interdit de traiter plus favorablement une minorité d'employés par des dispositions contractuelles ou de traiter plus défavorablement une minorité d'employés, si un motif objectif le justifie (Portmann/Rudolph, Basler Kommentar - OR I, 7 ème éd. 2020, n. 29 et suivantes ad art. 328 CO). 2.1.3 A Genève, afin de répondre à certains besoins spécifiques de la population, des emplois de solidarité sur le marché complémentaire de l'emploi ont été institués depuis 2008 (art. 45D al.1 LMC). Ils sont destinés aux personnes ayant épuisé leurs droits à l'assurance-chômage (art. 45D al. 2 LMC). Dans le choix des activités retenues, le département compétent veille à éviter toute concurrence avec les entreprises commerciales genevoises, en particulier celles régies par des conventions collectives de travail (art. 45F al. 3 LMC). Jusqu'au 19 décembre 2015, la loi confiait au Conseil d'Etat la compétence de déterminer des salaires minimaux sur préavis du Conseil de surveillance du marché de l'emploi (art. 45H al. 2 LMC). Le Conseil d'Etat avait ainsi fixé, à l'art. 43 al. 1 RMC dans ses teneurs successives, le salaire mensuel brut de l'emploi de solidarité à plein temps à 3'000 fr., puis 3'225 fr. dès 2011, pour une fonction ne requérant aucune formation spécifique (let. a); 3'500 fr., puis 3'725 fr. dès 2011 pour une fonction conforme à la lettre a, mais occupée par un titulaire du certificat fédéral de capacité ou d'un diplôme professionnel équivalent (let. b); 4'000 fr., puis 4'225 fr. pour une fonction spécialisée ou à responsabilités, dont l'exercice requiert impérativement un certificat fédéral de capacité ou un diplôme professionnel équivalent (let. c). Dès le 19 décembre 2015, l'art. 45H al. 2 LMC a été supprimé. Désormais, il est prévu que l'Etat contribue au paiement du salaire versé aux bénéficiaires par leur employeur dans la mesure où ce salaire est conforme aux pratiques du marché complémentaire de l'emploi (art. 45H al. 1 LMC). A teneur de l'art. 43 RMC dans sa teneur actuelle, le marché complémentaire de l'emploi, au sens de de la loi cantonale, rassemble les activités de production de biens ou de services ayant une utilité pour la collectivité ou répondant à un besoin social, mais qui sont délaissées par les entreprises privées à but lucratif en raison d'un manque de rentabilité lié notamment au besoin d'encadrement accru des employés concernés ou de la nature de l'activité déployée, et que l'Etat souhaite soutenir (al. 1). Les salaires conformes aux pratiques du marché complémentaire de l'emploi, au sens de l'article 45H al. 1 LMC, ne peuvent pas être inférieurs aux salaires minimaux prévus par les conventions collectives de travail étendues ou les contrats-types de travail au sens de l'article 360a CO ou, à défaut, les usages établis par l'Office cantonal de l'inspection et des relations du travail (al. 2). Les relations contractuelles entre les bénéficiaires et les institutions partenaires sont régies pour le surplus par le contrat de travail signé par ces derniers et, à titre supplétif, par les dispositions du titre dixième du code des obligations (art. 45H al. 3 LMC). 2.1.4 En présence d'un litige sur l'interprétation de clauses contractuelles, 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arrêt du Tribunal fédéral 4A_498/2018 du 11 avril 2019 consid. 5.1.1). 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c'est-à-dire conformément au principe de la confiance. Les circonstances déterminantes à cet égard sont uniquement celles qui ont précédé ou accompagné la manifestation de volonté, mais non pas les événements postérieurs (ATF 144 III 93 consid. 5.2.3; arrêt du Tribunal fédéral 4A_498/2018 précité consid. 5.1.2). 2.2 En l'espèce, l'appelant, qui conteste avoir bénéficié de prestations tendant à sa réinsertion, fait grief au Tribunal de lui avoir reconnu un statut d'employé de solidarité. Selon lui, les cours suivis étaient inutiles et il n'avait pas bénéficié d'un réel soutien pour retrouver un emploi. En outre, le Tribunal avait erré en retenant que son salaire n'était pas soumis à la liberté contractuelle : il devait ainsi profiter de la grille salariale de l'intimée. Pour la première fois en appel, il reproche un dol à l'intimée, au motif que celle-ci l'avait induit en erreur au moment de la conclusion de l'avenant du 1 er mars 2016; il se prévaut également de l'art. 42 al. 2 CO. 2.2.1 S'agissant de la question de son statut au sein de l'intimée, l'appelant ne conteste pas qu'il a été engagé en qualité d'employé de solidarité lors de la signature de son premier contrat de travail. Par un raisonnement peu clair, il soutient que sa situation aurait ensuite changé graduellement, en lien avec la modification législative intervenue en décembre 2015. Ce moyen n'est pas fondé. En effet, la situation personnelle de l'appelant, chômeur en fin de droit âgé d'une cinquantaine d'année au moment de l'embauche, démontre qu'il remplissait les critères pour bénéficier d'un emploi de solidarité, ce qu'il a d'ailleurs accepté. Les documents contractuels successifs font tous expressément état de ce statut et de l'application des loi et règlement cantonaux sur le chômage. S'agissant du travail fourni par l'appelant au service de l'intimée et de la formation requise pour l'exécuter, il ressort de l'interrogatoire des parties et des déclarations du témoin J______ que l'appelant était précédemment vendeur et réparateur informatique chez E______ et qu'il ne possédait pas une parfaite maîtrise du français puisqu'il a dû suivre un cours de mise à niveau. L'appelant a affirmé avoir suivi des formations durant ses années de chômage qui lui avaient permis d'obtenir son poste chez l'intimée. Il résulte toutefois des déclarations des témoins G______, D______, H______ et F______ que ce travail ne demandait pas des compétences informatiques pointues. Si le descriptif du poste était celui de " responsable informatique " ou de " gestionnaire IT ", les explications de l'intimée sur le fait que cet intitulé était volontairement ambitieux pour valoriser l'employé sont convaincantes au vu des tâches réellement effectuées. En effet, les prestations étaient relativement élémentaires (gestion des stocks, support aux utilisateurs, formation des collaborateurs) et requéraient des connaissances limitées (CFC et maîtrise des outils informatiques de base). L'appelant a certes été décrit comme un collaborateur soigneux, disponible et ponctuel, ce qui n'est pas remis en cause, mais ses prestations étaient appréciées à l'aune d'un emploi de solidarité, soit avec une certaine indulgence de la part de l'employeuse. Les témoins G______ et D______ ont affirmé que les tâches confiées à l'appelant n'étaient pas comparables à celles assumées par un responsable informatique travaillant sur le marché primaire de l'emploi, ce qui ressort également des déclarations des témoins H______ et F______ (la première a déclaré que l'appelant devait faire appel à des prestataires externes pour régler certaines pannes, tandis que le second a précisé qu'il devait suivre des formations avant d'installer de nouveaux programmes informatiques). De plus, la qualité du travail effectué par l'appelant, caractérisée selon les domaines par une certaine lenteur et un manque de motivation (décl. témoins G______ et D______, rapports d'évaluation signés par l'employé), paraît peu compatible avec un emploi de responsable informatique exercé dans une entreprise à but lucratif. A cela s'ajoute que le parc informatique de l'intimée, dont le but premier n'était pas la fourniture de services informatiques, ni d'ailleurs ne requérait un service informatique performant, était vieux et désuet, ce qui pondère encore le niveau de responsabilité réel de l'appelant. En tous les cas, il n'apparaît pas que l'activité de l'appelant ait évolué au fil des années pour prendre une plus grande importance dans l'entreprise ou revêtir une plus grande complexité, notamment au cours des années 2015 et 2016. Le fait que l'appelant disposait d'une ou deux personnes sous sa responsabilité ne change pas cette appréciation, étant relevé qu'il s'agissait de personnes faiblement formées. Enfin, l'appelant échoue à établir qu'il n'aurait bénéficié d'aucune aide de la part de l'intimée pour se réinsérer professionnellement pendant la dizaine d'années passées à son service, grief qui frise la témérité. D'une part, le témoin I______, directeur au sein de l'Office cantonal de l'emploi, a déclaré que l'intimée fournissait à ce titre un encadrement adéquat et de qualité, ce qui faisait d'elle l'un des meilleurs prestataires de ce genre de services à Genève. D'autre part, il ressort des pièces produites, de l'interrogatoire des parties et des déclarations des témoins J______ et L______ que l'appelant a bénéficié d'une aide et d'un accompagnement à la recherche d'emploi - ce qu'il a lui-même reconnu -, qu'il s'est vu financer des formations/cours et qu'il a été libéré de son temps de travail pour les suivre; cela lui a permis de passer d'un stade où il se trouvait en décalage avec le marché de l'emploi à celui où il était en mesure d'occuper un poste d'ingénieur système. Dans ce contexte, l'appelant a encore bénéficié, entre 2016 et 2018, du soutien d'une conseillère en placement, d'un cours d'informatique et d'une aide à la postulation, ce gratuitement et à sa demande. Il découle de ce qui précède qu'il n'existe aucun indice concret (documents contractuels, contexte général entourant la conclusion des contrats de travail, attitude des parties avant et après la conclusion des contrats, etc.) qui permettrait de retenir que les parties auraient manifesté, à un moment donné, une volonté réciproque et concordante de modifier le statut de l'appelant pour le considérer comme un employé « ordinaire » de l'association (i.e. comme un employé du secteur primaire). Par conséquent, une telle volonté n'a pas été démontrée, tandis qu'une interprétation objective des manifestations de volonté des parties ne conduirait pas à un autre résultat. Le statut de l'appelant est donc demeuré, tout au long de la relation contractuelle - y compris dès 2016 -, celui d'un employé de solidarité. 2.2.2 Cela étant posé, l'appelant ne saurait bénéficier de la grille des salaires applicable aux personnes que l'intimée emploie dans le cadre du marché principal du travail. En effet, cette grille de salaire prévoit expressément qu'elle ne concerne pas les personnes bénéficiant du statut d'employé de solidarité. Les griefs de l'appelant sur la question de la liberté contractuelle tombent donc à faux. Par la modification législative de décembre 2015, l'Etat de Genève a certes renoncé à fixer un barème des salaires pour les emplois de solidarité. Ce faisant, il a renforcé la liberté contractuelle des parties à un contrat d'emploi de solidarité, ce qui ne plaide guère en faveur de la thèse soutenue par l'appelant. Il apparaît en outre logique et conforme au but de la loi - ainsi que le développe l'intimée en se référant aux déclarations du témoin D______ (cf. supra EN FAIT, let. C.d) - de ne pas pratiquer, dans le cadre du marché complémentaire de l'emploi, des salaires concurrençant le marché principal (l'objectif poursuivi étant de favoriser le retour des chômeurs en fin de droit sur le marché primaire de l'emploi et non d'inciter les employés de solidarité à conserver leur poste sur le marché complémentaire) - ce que l'appelant ne pouvait ignorer. L'appelant se prévaut également du principe de l'égalité de traitement. Ce faisant, il perd de vue que seule une minorité des employés de l'intimée bénéficiaient de conditions salariales plus favorables que lui et qu'elle était libre de procéder ainsi, pour des fonctions dirigeantes et différentes des emplois de solidarité, car occupées par des personnes choisies pour leurs compétences et non, comme dans le cas de l'appelant, dans une perspective de réinsertion. 2.2.3 Par un développement de quelques lignes, l'appelant invoque pêle-mêle, et pour la première fois en appel, le dol (art. 28 CO) et la question de la preuve du dommage (art. 42 al. 2 CO). S'agissant du dol, l'appelant avait certes invoqué dans sa demande en paiement que, se trouvant dans la précarité, il s'était senti contraint d'accepter l'avenant au contrat du 1 er mars 2016. Cependant, l'appelant n'a jamais invoqué un comportement dolosif de l'intimée en première instance. Plus particulièrement, il soutient ex nihilo en appel que l'intimée aurait mentionné certaines dispositions légales aux fins de le tromper. Or, il n'explique pas en quoi il aurait été empêché d'alléguer les faits y relatifs devant le Tribunal. Il n'en va pas différemment de la question de la preuve du dommage au sens de l'art. 42 al. 2 CO. Ces allégations nouvelles sont donc irrecevables (art. 317 al. 1 CPC) et ne justifient pas davantage de développements, le moyen soulevé étant manifestement infondé. 2.3 Le jugement entrepris sera donc confirmé. 3. L'appelant, qui succombe, sera condamné aux frais judiciaires d'appel, arrêtés à 1'300 fr. (art. 95, 106 al. 1, 114 let. c et 116 al. 1 CPC; art. 71 RTFMC) et compensés par l'avance de frais du même montant versée par lui, qui reste acquise à l'Etat de Genève (art. 111 al. 1 CPC). Il n'est pas alloué de dépens d'appel ni d'indemnité pour la représentation en justice dans les causes soumises à la juridiction des prud'hommes (art. 22 al. 2 LaCC). * * * * * PAR CES MOTIFS, La Chambre des prud'hommes, groupe 5 : A la forme : Déclare recevable l'appel formé le 15 octobre 2020 par A______ contre le jugement JTPH/310/2020 rendu le 28 septembre 2020 par le Tribunal des prud'hommes dans la cause C/6994/2019. Au fond : Confirme le jugement entrepris. Déboute les parties de toutes autres conclusions. Fixe les frais judiciaires d'appel à 1'300 fr., les met à la charge de A______ et les compense avec l'avance versée qui reste acquise à l'Etat de Genève. Dit qu'il n'est pas alloué de dépens d'appel. Siégeant : Madame Nathalie RAPP, présidente; Monsieur Michael RUDERMANN, juge employeur; Monsieur Willy KNOPFEL,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