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C/6661/2024 vom 16. September 2024</w:t>
      </w:r>
    </w:p>
    <w:p>
      <w:r>
        <w:t>GE Cour de justice, 2024-09-16, FR</w:t>
      </w:r>
    </w:p>
    <w:p>
      <w:r>
        <w:rPr>
          <w:b/>
        </w:rPr>
        <w:t xml:space="preserve">Quelle: </w:t>
      </w:r>
      <w:r>
        <w:t>https://mcp.opencaselaw.ch/entscheid/ge_gerichte_C_6661_2024</w:t>
      </w:r>
    </w:p>
    <w:p>
      <w:r>
        <w:t>FR: GE_GERICHTE C/6661/2024 du 16 septembre 2024</w:t>
      </w:r>
    </w:p>
    <w:p>
      <w:r>
        <w:t>IT: GE_GERICHTE C/6661/2024 del 16 settembre 2024</w:t>
      </w:r>
    </w:p>
    <w:p>
      <w:pPr>
        <w:pStyle w:val="Heading2"/>
      </w:pPr>
      <w:r>
        <w:t>Erwägungen</w:t>
      </w:r>
    </w:p>
    <w:p>
      <w:r>
        <w:rPr>
          <w:b/>
        </w:rPr>
        <w:t>E. 1</w:t>
      </w:r>
    </w:p>
    <w:p>
      <w:r>
        <w:t>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valeur litigieuse est supérieure à 10'000 fr. La voie de l'appel est donc ouverte contre le prononcé de l'évacuation.</w:t>
      </w:r>
    </w:p>
    <w:p>
      <w:r>
        <w:rPr>
          <w:b/>
        </w:rPr>
        <w:t>E. 1.2</w:t>
      </w:r>
    </w:p>
    <w:p>
      <w:r>
        <w:t>L'appel,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Aux termes de l’art. 311 al. 1 CPC, l’appel doit être motivé. L’appelant a ainsi le fardeau d'expliquer les motifs pour lesquels le jugement attaqué doit être annulé et modifié, par référence à l'un et/ou l'autre motif(s) prévu(s) à l'art. 310 CPC. La maxime inquisitoire (art. 55 al. 2 et 247 al. 2 CPC) et la maxime d'office (art. 58 al. 2 CPC) ne dispensent pas l'appelant de motiver correctement. Un simple renvoi aux écritures et pièces de première instance ne serait pas conforme à l'exigence de motivation de l'art. 311 al. 1 CPC. L'instance supérieure doit pouvoir comprendre ce qui est reproché au premier juge, sans avoir à rechercher des griefs par elle-même, ce qui exige une certaine précision quant à l'énoncé et à la discussion des griefs ( ACJC/150/2019 consid. 3.1 ; Jeandin in : bohnet/haldy/jeandin/ schweizer/tappy, Code de procédure civile commenté 2019, ad art. 311, § 3 et les références citées). En l'espèce, l'appel, rédigé par des justiciables en personne, comprend sept pages, fait état de nombreux griefs et contient des conclusions. Formé dans le délai et la forme prescrits par la loi, l'appel est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allégué des faits nouveaux et produit des pièces nouvelles. L'intimée a pris des conclusions nouvelles. 2.1.1 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2.1.2 La demande ne peut être modifiée que si les conditions fixées à l'art. 227 al. 1 CPC sont remplies et la modification repose sur des faits ou moyens de preuve nouveaux (art. 317 al. 2 CPC).</w:t>
      </w:r>
    </w:p>
    <w:p>
      <w:r>
        <w:rPr>
          <w:b/>
        </w:rPr>
        <w:t>E. 2.2</w:t>
      </w:r>
    </w:p>
    <w:p>
      <w:r>
        <w:t>Conformément aux principes qui précèdent, les allégations et pièces nouvelles des parties sont irrecevables. Elles ne sont en tout état pas déterminantes pour l'issue du litige. Les conclusions de l'intimée qui excèdent la confirmation du jugement entrepris, sont également irrecevables, car nouvelles.</w:t>
      </w:r>
    </w:p>
    <w:p>
      <w:r>
        <w:rPr>
          <w:b/>
        </w:rPr>
        <w:t>E. 3</w:t>
      </w:r>
    </w:p>
    <w:p>
      <w:r>
        <w:t>Les appelants font grief au Tribunal d'avoir considéré que le cas était clair. Ils soutiennent que le contrat produit pas l'intimée était "faux", car celle-ci en aurait supprimé la page 5 et l'article 5.3 intitulé "reconnaissance de dette", qu'il violerait l'art. 23 CO, devrait être interprété comme prévu par l'art. 257 CO et constituerait un faux dans les titres au sens de l'art. 251 CP. La mise en demeure serait nulle, car non conforme à l'art. 266l CO. Ils n'auraient pas reçu la "convocation à la commission de conciliation du 21 mars 2024". 3.1.1 Les citations, ordonnances et décisions sont notifiées par envoi recommandé ou d'une autre manière contre accusé de réception (art. 138 al. 1 CPC). 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 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(arrêt du Tribunal fédéral 5P.24/2007 du19 mars 2007 consid. 4.1). 3.1.2 Lorsque les parties sont convenues expressément ou tacitement d'une durée déterminée, le bail prend fin sans congé à l'expiration de la durée convenue (art. 266 CO). 3.1.3 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3.1.4. 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w:t>
      </w:r>
    </w:p>
    <w:p>
      <w:r>
        <w:rPr>
          <w:b/>
        </w:rPr>
        <w:t>E. 3.2</w:t>
      </w:r>
    </w:p>
    <w:p>
      <w:r>
        <w:t>Dans le présent cas, la question de savoir si les appelants ont été régulièrement convoqués devant le Tribunal peut souffrir de demeurer indécise, dans la mesure où ceux-ci ont, quoiqu'il en soit, assisté à l'audience et fait valoir leurs droits. Même à admettre un vice de notification, celui-ci serait sans conséquence, en l'absence de préjudice des appelants. Les autres griefs des appelants sont sans pertinence, respectivement infondés. La page manquante du contrat de bail n'était pas déterminante pour l'issue du litige, en ce qu'elle aurait trait à une reconnaissance de dette des appelants envers l'intimée. En effet, seule l'était la durée fixe du bail. Or, celle-ci ressort clairement des pièces jointes à la requête. Il n'y a donc pas lieu d'examiner plus avant l'éventuelle nullité de la prétendue reconnaissance de dette. S'agissant d'un bail à terme fixe, celui-ci prenait fin sans résiliation. Dès lors, le grief tiré de la nullité de la mise en demeure tombe à faux, celle-ci n'étant pas nécessaire. C'est ainsi à bon droit que le Tribunal a retenu que la situation était claire, que le bail avait pris fin à son échéance, sans résiliation, et que, dès ce moment, les appelants n'étaient plus au bénéfice d'un titre juridique les autorisant à demeurer dans les locaux, de sorte que leur évacuation devait être prononcée. Le jugement sera confirmé sur ce point (ch. 1 du dispositif).</w:t>
      </w:r>
    </w:p>
    <w:p>
      <w:r>
        <w:rPr>
          <w:b/>
        </w:rPr>
        <w:t>E. 4.1</w:t>
      </w:r>
    </w:p>
    <w:p>
      <w:r>
        <w:t>Le tribunal ne peut accorder à une partie ni plus ni autre chose que ce qui est demandé, ni moins que ce qui est reconnu par la partie adverse (art. 58 CPC).</w:t>
      </w:r>
    </w:p>
    <w:p>
      <w:r>
        <w:rPr>
          <w:b/>
        </w:rPr>
        <w:t>E. 4.2</w:t>
      </w:r>
    </w:p>
    <w:p>
      <w:r>
        <w:t>En l'espèce, l'intimée n'a conclu, ni dans sa requête ni lors de l'audience devant le Tribunal, au prononcé de mesures d'exécution directe de l'évacuation. Le Tribunal n'était donc pas fondé à statuer sur ce point. Le chiffre 2 du dispositif de ce jugement sera dès lors annulé.</w:t>
      </w:r>
    </w:p>
    <w:p>
      <w:r>
        <w:rPr>
          <w:b/>
        </w:rPr>
        <w:t>E. 5</w:t>
      </w:r>
    </w:p>
    <w:p>
      <w:r>
        <w:t>A teneur de l'art. 22 al. 1 LaCC, il n'est pas prélevé de frais ni alloué de dépens dans les causes soumises à la juridiction des baux et loyers (ATF139 III 182 consid. 2.6). * * * * * PAR CES MOTIFS, La Chambre des baux et loyers : A la forme : Déclare recevable l'appel interjeté le 10 juin 2024 par A______ et B______ contre le jugement JTBL/598/2024 rendu le 30 mai 2024 par le Tribunal des baux et loyers dans la cause C/6661/2024. Au fond : Annule le chiffre 2 du dispositif de ce jugement. Confirme le jugement pour le surplus. Dit que la procédure est gratuite. Déboute les parties de toutes autres conclusions. Siégeant : Madame Nathalie LANDRY-BARTHE, présidente; Madame Sylvie DROIN, Madame Pauline ERARD, juges;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