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C/6654/2024 vom 12. Mai 2025</w:t>
      </w:r>
    </w:p>
    <w:p>
      <w:r>
        <w:t>GE Cour de justice, 2025-05-12, FR</w:t>
      </w:r>
    </w:p>
    <w:p>
      <w:r>
        <w:rPr>
          <w:b/>
        </w:rPr>
        <w:t xml:space="preserve">Quelle: </w:t>
      </w:r>
      <w:r>
        <w:t>https://mcp.opencaselaw.ch/entscheid/ge_gerichte_C_6654_2024</w:t>
      </w:r>
    </w:p>
    <w:p>
      <w:r>
        <w:t>FR: GE_GERICHTE C/6654/2024 du 12 mai 2025</w:t>
      </w:r>
    </w:p>
    <w:p>
      <w:r>
        <w:t>IT: GE_GERICHTE C/6654/2024 del 12 maggio 2025</w:t>
      </w:r>
    </w:p>
    <w:p>
      <w:pPr>
        <w:pStyle w:val="Heading2"/>
      </w:pPr>
      <w:r>
        <w:t>Erwägungen</w:t>
      </w:r>
    </w:p>
    <w:p>
      <w:r>
        <w:rPr>
          <w:b/>
        </w:rPr>
        <w:t>E. 1</w:t>
      </w:r>
    </w:p>
    <w:p>
      <w:r>
        <w:t>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compte tenu des griefs invoqués, il apparait que la valeur litigieuse est supérieure à 10'000 fr. La voie de l'appel est donc ouverte contre le prononcé de l'évacuation. En revanche, contre les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formé dans le délai et la forme prescrits par la loi, est recevable. En revanche, l'appelant ne motive pas sa conclusion (nouvelle et partant irrecevable – art. 326 CPC) subsidiaire tendant à l'octroi d'un sursis humanitaire échéant au 31 décembre 2025, de sorte que son recours sera déclaré irrecevable.</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 produit des pièces nouvelles.</w:t>
      </w:r>
    </w:p>
    <w:p>
      <w:r>
        <w:rPr>
          <w:b/>
        </w:rPr>
        <w:t>E. 2.1</w:t>
      </w:r>
    </w:p>
    <w:p>
      <w:r>
        <w:t>Les faits et moyens de preuve nouveaux ne sont recevables qu'aux conditions de l'art. 317 al. 1 CPC. Les nova improprement dits (ou faux ou pseudo-nova) ne sont recevables qu'à deux conditions: (1) la partie qui s'en prévaut ne pouvait les invoquer avant, malgré sa diligence et (2) elle les présente sans retard.</w:t>
      </w:r>
    </w:p>
    <w:p>
      <w:r>
        <w:rPr>
          <w:b/>
        </w:rPr>
        <w:t>E. 2.2</w:t>
      </w:r>
    </w:p>
    <w:p>
      <w:r>
        <w:t>Conformément aux principes qui précèdent les pièces nouvelles produites par l'appelant sont irrecevables. Celui-ci aurait en effet pu les produire devant les premiers juges. En informant pas son mandataire de la résiliation du bail, de la requête déposée contre lui ni des audiences auxquelles il avait été convoqué et en s'y rendant seul, sans informer le Tribunal de l'élection de domicile (et privant son conseil de le faire), il n'a pas agi avec la diligence requise, de sorte qu'il n'est pas fondé à produire ces pièces devant la Cour.</w:t>
      </w:r>
    </w:p>
    <w:p>
      <w:r>
        <w:rPr>
          <w:b/>
        </w:rPr>
        <w:t>E. 3</w:t>
      </w:r>
    </w:p>
    <w:p>
      <w:r>
        <w:t>L'appelant se plaint d'une violation de son droit d'être entendu, au motif qu'en raison du non-respect de l'élection de domicile auprès de l'ASLOCA, il n'avait pas été assisté lors des audiences devant le Tribunal et n'avait en conséquence pas pu faire valoir correctement ses droits, en particulier compte tenu de son état de santé.</w:t>
      </w:r>
    </w:p>
    <w:p>
      <w:r>
        <w:rPr>
          <w:b/>
        </w:rPr>
        <w:t>E. 3.1</w:t>
      </w:r>
    </w:p>
    <w:p>
      <w:r>
        <w:t>Lorsque la partie est représentée, les actes sont notifiés à son représentant (art. 137 CPC).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Dans la règle, une notification viciée ne constitue pas un motif de nullité; la protection des parties est suffisamment assurée lorsque la notification irrégulière a néanmoins atteint son but; il faut donc examiner, d'après les circonstances de l'espèce, si la partie intéressée a réellement été induite en erreur par l'irrégularité et a, de ce fait, subi un préjudice. Il convient de faire appel aux règles de la bonne foi - applicables aussi au domaine de la procédure civile - qui posent une limite à l'invocation d'un vice de forme (arrêt du Tribunal fédéral 5P.24/2007 du 19 mars 2007 consid. 4.1).</w:t>
      </w:r>
    </w:p>
    <w:p>
      <w:r>
        <w:rPr>
          <w:b/>
        </w:rPr>
        <w:t>E. 3.2</w:t>
      </w:r>
    </w:p>
    <w:p>
      <w:r>
        <w:t>En l'espèce, il est acquis que la requête en évacuation déposée par l'intimée ne mentionnait pas l'élection de domicile de l'appelant auprès de l'ASLOCA. Cela étant, ce dernier a été atteint par les convocations du Tribunal, qui ignorait l'élection de domicile, et il s'est rendu aux audiences. Contrairement à ce qu'il soutient, aucun élément concret ne permet de retenir que la notification viciée lui aurait causé un préjudice. Même s'il avait été assisté de son mandataire, et qu'il avait été fait état de son état de santé, il n'expose pas en quoi cela aurait eu une incidence sur la solution du litige. Aucun élément concret ne permet non plus de retenir que l'intimée aurait sciemment omis de mentionner l'élection de domicile dont elle avait été informée. Il appartenait à l'appelant d'informer son mandataire des convocations reçues, ainsi que le Tribunal de l'élection de domicile, ce qu'il aurait eu d'autant plus l'occasion de faire qu'il a été convoqué à deux reprises devant ce dernier. Le fait que l'intimée n'ait fait qu'appliquer une décision de l'OCLPF et qu'elle ne soit, selon l'appelant, pas prétéritée par la situation n'est pas déterminant. Le Tribunal n'était par ailleurs pas tenu de proposer aux parties un échange d'appartements. Au vu des considérations qui précèdent, le grief de l'appelant est infondé et le jugement entrepris sera confirmé.</w:t>
      </w:r>
    </w:p>
    <w:p>
      <w:r>
        <w:rPr>
          <w:b/>
        </w:rPr>
        <w:t>E. 4</w:t>
      </w:r>
    </w:p>
    <w:p>
      <w:r>
        <w:t>A teneur de l'art. 22 al. 1 LaCC, il n'est pas prélevé de frais ni alloué de dépens dans les causes soumises à la juridiction des baux et loyers (ATF 139 III 182 consid. 2.6). * * * * * PAR CES MOTIFS, La Chambre des baux et loyers : A la forme : Déclare recevable l'appel interjeté le 24 février 2025 par A______ contre le jugement JTBL/1269/2024 rendu le 12 décembre 2024 par le Tribunal des baux et loyers dans la cause C/6654/2024. Déclare irrecevable le recours interjeté le 24 février 2025 par A______ contre le chiffre 2 du dispositif de ce même jugement. Au fond : Confirme ce jugement. Dit que la procédure est gratuite. Déboute les parties de toutes autres conclusions. Siégeant : Monsieur Ivo BUETTI, président; Madame Pauline ERARD, Madame Fabienne GEISINGER-MARIETHOZ, juges; Madame Nevena PULJIC, Monsieur Nicolas DAUDIN,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