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C/6565/2019 vom 15. Juni 2022</w:t>
      </w:r>
    </w:p>
    <w:p>
      <w:r>
        <w:t>GE Cour de justice, 2022-06-15, FR</w:t>
      </w:r>
    </w:p>
    <w:p>
      <w:r>
        <w:rPr>
          <w:b/>
        </w:rPr>
        <w:t xml:space="preserve">Quelle: </w:t>
      </w:r>
      <w:r>
        <w:t>https://mcp.opencaselaw.ch/entscheid/ge_gerichte_C_6565_2019</w:t>
      </w:r>
    </w:p>
    <w:p>
      <w:r>
        <w:t>FR: GE_GERICHTE C/6565/2019 du 15 juin 2022</w:t>
      </w:r>
    </w:p>
    <w:p>
      <w:r>
        <w:t>IT: GE_GERICHTE C/6565/2019 del 15 giugno 2022</w:t>
      </w:r>
    </w:p>
    <w:p>
      <w:pPr>
        <w:pStyle w:val="Heading2"/>
      </w:pPr>
      <w:r>
        <w:t>Erwägungen</w:t>
      </w:r>
    </w:p>
    <w:p>
      <w:r>
        <w:rPr>
          <w:b/>
        </w:rPr>
        <w:t>E. 5</w:t>
      </w:r>
    </w:p>
    <w:p>
      <w:r>
        <w:t>L'appelante reproche au Tribunal d'avoir violé les dispositions relatives à la représentation, et plus particulièrement à la représentation conjugale, en retenant que F______ n'avait pas agi en qualité de représentant de l'intimée dans ses relations contractuelles avec l'appelante. Il convient dès lors de déterminer si B______ est cocontractante de l'appelante pour les prestations facturées dont celle-ci lui réclame paiement, en vertu d'un rapport de représentation avec F______. 5.1.1 La vente est un contrat par lequel le vendeur s'oblige à livrer la chose vendue à l'acheteur et à lui en transférer la propriété, moyennant un prix que l'acheteur s'engage à lui payer (art. 184 al. 1 CO). Le contrat d'entreprise est un contrat par lequel une des parties (l'entrepreneur) s'oblige à exécuter un ouvrage, moyennant un prix que l'autre partie (le maître d'ouvrage) s'engage à lui payer (art. 363 CO). A teneur de l'art. 1 CO, le contrat est parfait lorsque les parties ont, réciproquement et d'une manière concordante, manifesté leur volonté (al. 1). Cette manifestation peut être expresse ou tacite (al. 2). Pour déterminer quels sont les cocontractants d'une relation contractuelle, le juge doit interpréter les manifestations de volonté. Il doit rechercher, dans un premier temps, la réelle et commune intention des parties (interprétation subjective), le cas échéant empiriquement, sur la base d'indices (ATF 132 III 268 consid. 2.3.2; ATF 132 III 626 consid. 3.1; ATF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ATF 112 II 337 consid. 4a).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 4A_98/2016 du 22 août 2016 consid. 5.1; 4A_608/2016 du 30 mai 2017 consid. 2.4).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4A_210/2015 du 2 octobre 2015 consid. 6.2.1; 5C.252/2004 du 30 mai 2005 consid. 4.3)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 ATF 132 III 626 consid. 3.1; ATF 118 II 365 consid. 1). Ce principe permet d'imputer à une partie le sens objectif de sa déclaration ou de son comportement, même si celui-ci ne correspond pas à sa volonté intime (ATF 130 III 417 consid. 3.2 et les arrêts cités).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et les arrêts cités; arrêt du Tribunal fédéral 4A_155/2017 précité consid. 2.3). 5.1.2 Aux termes de l'art. 32 al. 1 CO, les droits et obligations dérivant d'un contrat fait au nom d'une autre personne par un représentant autorisé passent au représenté. Il s'ensuit que le représentant n'est pas lié par l'acte accompli. D'après l'art. 32 al. 2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La preuve de l'existence d'un rapport de représentation incombe à celui qui s'en prévaut (art. 8 CC; arrêt du Tribunal fédéral 4A_186/2009 du 3 mars 2010 consid. 4.2). 5.1.3 A teneur de l'art. 166 al. 1 CC, chaque époux représente l'union conjugale pour les besoins courants de la famille pendant la vie commune. Par besoins courants, il faut comprendre les actes destinés à assurer l'entretien usuel et quotidien de la famille. Font en général partie des besoins courants les dépenses liées à l'alimentation, aux soins corporels, à l'habillement, à l'entretien du logement de la famille, etc. (CR CC-Leuba, ad art. 166 N 18). Un acte conclu dans l'intérêt d'un des époux seulement n'entre pas dans le champ de cette disposition (CR CC-Leuba, ad art. 166 N 14). Ce pouvoir de représentation s'éteint dès la suspension de la vie commune, une séparation de fait étant suffisante (CR CC-Leuba, ad art. 166 N 12). 5.2.1 En l'espèce, s'agissant d'abord du montant réclamé de 1'060 fr. 15 en capital, soit le solde dû pour l'acquisition de la remorque, le Tribunal a retenu à bon droit que l'intimée n'en était pas la débitrice, et la Cour fait siens les motifs du premier juge. Ainsi, tout d'abord, il n'est pas établi que l'intimée ait été l'acquéreuse de la remorque et qu'elle ait mandaté l'appelante dans ce cadre. En effet, elle a déclaré qu'elle ignorait tout de cet achat. Elle a d'ailleurs contesté avoir reçu les factures y relatives, et l'appelante n'a pas démontré que tel avait été le cas. Sa qualité de détentrice de la remorque sur la carte grise n'emporte pas celle de cocontractante de l'appelante pour les prestations effectuées en lien avec cet achat, alors même qu'il ne ressort pas du dossier qu'elle aurait eu le moindre contact avec l'appelante dans ce cadre, au contraire de F______. A cet égard, le Tribunal a justement relevé la nécessité d'un détenteur de la remorque domicilié en Suisse, alors que F______ était domicilié au Portugal. Ces contraintes administratives ne suffisent pas à faire de l'intimée la cocontractante de l'appelante. F______ a par ailleurs reconnu avoir payé le montant de 30'000 fr. ayant servi à couvrir partiellement les prestations de l'appelante en lien avec l'acquisition de la remorque, admettant ainsi implicitement en être le débiteur, car cocontractant de l'appelante. Aucune pièce ne vient démentir ce qui précède, les avis de débit des montants précités n'ayant pas été produits et le versement dont il est admis qu'il a été effectué par N______ SA ne portant aucune référence. 5.2.2 La facture n°3______, en 108 fr., a été adressée à F______, et non à l'intimée. Le fait que les rappels subséquents aient été envoyés à l'intimée ne suffit pas à considérer que celle-ci était la cocontractante de l'appelante. En effet, il n'est pas établi que l'intimée ait eu le moindre contact avec l'appelante en lien avec le bateau. Au contraire, les enquêtes ont démontré que le seul interlocuteur de l'appelante à cet égard était F______. Il ne peut être tiré argument du fait que le bateau ait été immatriculé au nom de I______ SARL, au demeurant pour une seule journée, personne morale à la personnalité propre, indépendante de celle de l'intimée, vraisemblablement utilisée pour des raisons administratives (comme pour la remorque), F______ étant alors domicilié au Portugal. 5.2.3 Les arguments qui précèdent valent mutadis mutandis pour la facture n° 4______ relative aux travaux de renforcement de la proue. A cela s'ajoute que ces travaux ont été commandés et payés par E______, lequel n'a eu de contact qu'avec F______, qui lui avait remis le bateau et régulièrement versé des acomptes en paiement de ses différentes factures. Au vu des considérations qui précèdent, il faut admettre, avec le Tribunal, que l'intimée n'a pas, au moins directement, mandaté l'appelante pour les prestations dont le paiement lui est réclamé. Reste à examiner si F______ a agi en qualité de représentant de l'intimée, en mandatant l'appelante pour les prestations détaillées ci-dessus. 5.2.4 En ce qui concerne un éventuel pouvoir de représentation découlant de l'art. 32 CO, l'appelante n'a pas produit de procuration ni aucun autre document de ce type prouvant que F______ aurait disposé du pouvoir de représenter B______. Un tel pouvoir de représentation ne peut pas non plus être déduit des circonstances du cas d'espèce. En effet, comme il a déjà été relevé, F______ s'est toujours occupé de gérer les questions relatives au bateau et il a été le seul interlocuteur de l'appelante. Le fait que l'intimée apparaissait sur la carte grise remise à l'appelante était insuffisant pour considérer que F______ agissait comme représentant de l'intimée, faute d'autres éléments en ce sens. 5.2.5 Il ne peut non plus être retenu que F______ agissait en qualité de représentant de l'union conjugale, s'agissant de prestations qui n'entrent de toute évidence pas dans les besoins courants de la famille.</w:t>
      </w:r>
    </w:p>
    <w:p>
      <w:r>
        <w:rPr>
          <w:b/>
        </w:rPr>
        <w:t>E. 6</w:t>
      </w:r>
    </w:p>
    <w:p>
      <w:r>
        <w:t>Dans son dernier grief, l'appelante reproche au Tribunal d'avoir méconnu le principe de la transparence ( Durchgriff ). Elle prétend que le premier juge aurait dû admettre la légitimation passive de l'intimée au motif cette dernière est l'ayant droit économique de I______ SÀRL, société supposément propriétaire du bateau.</w:t>
      </w:r>
    </w:p>
    <w:p>
      <w:r>
        <w:rPr>
          <w:b/>
        </w:rPr>
        <w:t>E. 6.1</w:t>
      </w:r>
    </w:p>
    <w:p>
      <w:r>
        <w:t>Lorsqu'une personne fonde une personne morale, il faut en principe considérer qu'il y a deux sujets de droit distinct avec des patrimoines séparés. Toutefois un tiers peut être, dans des circonstances particulières, tenu des engagements d'un débiteur avec lequel il forme une identité économique. En effet, selon le principe de la transparence ( Durchgriff ), on ne peut pas s'en tenir sans réserve à l'existence formelle de deux personnes juridiquement distinctes lorsque tout l'actif ou la quasi-totalité de l'actif d'une personne morale appartient soit directement, soit par personnes interposées, à une même personne, physique ou morale. On doit alors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(ATF 144 III 541 consid. 8.3.1; ATF 132 III 489 consid. 3.2).</w:t>
      </w:r>
    </w:p>
    <w:p>
      <w:r>
        <w:rPr>
          <w:b/>
        </w:rPr>
        <w:t>E. 6.2</w:t>
      </w:r>
    </w:p>
    <w:p>
      <w:r>
        <w:t>En l'espèce, il a déjà été relevé que la qualité de propriétaire du bateau, voire de la remorque, n'emportait pas celle de débiteur des prestations dont le paiement est réclamé. Pour cette raison déjà, peu importe qu'il y ait ou non identité économique entre l'intimée et I______ SARL. Il en va de même s'agissant du versement de 10'000 fr. opéré par N______ SA, dont aucun argument ne peut être tiré s'agissant du coconctractant de l'appelante, au vu des autres éléments du dossier.</w:t>
      </w:r>
    </w:p>
    <w:p>
      <w:r>
        <w:rPr>
          <w:b/>
        </w:rPr>
        <w:t>E. 7</w:t>
      </w:r>
    </w:p>
    <w:p>
      <w:r>
        <w:t>En conclusion, au vu des considérations qui précèdent, c'est à bon droit que le Tribunal a considéré que l'intimée n'était pas la cocontractante de l'appelante et qu'elle n'avait dès lors pas la légitimation passive à l'action en paiement, laquelle devait être rejetée. Le jugement entrepris sera confirmé.</w:t>
      </w:r>
    </w:p>
    <w:p>
      <w:r>
        <w:rPr>
          <w:b/>
        </w:rPr>
        <w:t>E. 8</w:t>
      </w:r>
    </w:p>
    <w:p>
      <w:r>
        <w:t>Les frais judiciaires d'appel, arrêtés à 1'800 fr. (art. 35 et 36 RTFMC), sont mis à la charge de l'appelante qui succombe (art. 106 al.1 CPC). Ils sont entièrement compensés avec l'avance de frais du même montant déjà versée (art. 111 al. 1 CPC; art. 2 RTFMC), laquelle reste acquise à l'Etat de Genève. L'appelante sera en outre condamnée à verser à l'intimée la somme de 1'500 fr. à titre de dépens d'appel, débours et TVA compris (art. 105 al. 2 CPC; art. 84, 85 et 90 RTFMC; art. 20 al. 1, 25 et 26 LaCC). * * * * * PAR CES MOTIFS, La Chambre civile : A la forme : Déclare recevable l'appel interjeté par A______ SÀRL contre le jugement JTPI/10581/2021 rendu le 20 août 2021 par la 20ème Chambre de Tribunal de première instance dans la cause C/6565/2019. Au fond : Confirme ce jugement. Déboute les parties de toutes autres conclusions. Sur les frais : Met à la charge de A______ SÀRL les frais judiciaires d'appel, arrêtés à 1'800 fr. et compensés avec l'avance fournie, acquise à l'Etat de Genève. Condamne A______ SÀRL à verser à B______ 1'500 fr. à titre de dépens d'appel. Siégeant : Monsieur Cédric-Laurent MICHEL, président; Madame Pauline ERARD, Madame Paola CAMPOMAGNANI, juges; Madame Sandra CARRIER, greffière. Le président : Cédric-Laurent MICHEL La greffière : Sandra CARRIER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