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C/6505/2022 vom 31. Oktober 2023</w:t>
      </w:r>
    </w:p>
    <w:p>
      <w:r>
        <w:t>GE Cour de justice, 2023-10-31, FR</w:t>
      </w:r>
    </w:p>
    <w:p>
      <w:r>
        <w:rPr>
          <w:b/>
        </w:rPr>
        <w:t xml:space="preserve">Quelle: </w:t>
      </w:r>
      <w:r>
        <w:t>https://mcp.opencaselaw.ch/entscheid/ge_gerichte_C_6505_2022</w:t>
      </w:r>
    </w:p>
    <w:p>
      <w:r>
        <w:t>FR: GE_GERICHTE C/6505/2022 du 31 octobre 2023</w:t>
      </w:r>
    </w:p>
    <w:p>
      <w:r>
        <w:t>IT: GE_GERICHTE C/6505/2022 del 31 ottobre 2023</w:t>
      </w:r>
    </w:p>
    <w:p>
      <w:pPr>
        <w:pStyle w:val="Heading2"/>
      </w:pPr>
      <w:r>
        <w:t>Regeste</w:t>
      </w:r>
    </w:p>
    <w:p>
      <w:r>
        <w:t>CPC.59.al2.letb; CC.679</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En matière d'action en cessation de trouble, pour déterminer la valeur litigieuse, il faut évaluer la valeur dont augmentera le bien-fonds concerné par les atteintes, ou la valeur dont diminuera le bien-fonds qui cause ces atteintes, si les atteintes alléguées sont supprimées; le montant le plus élevé est alors décisif (arrêt du Tribunal fédéral 5A_774/2017 du 12 février 2018 consid. 1.2.4). En tant qu'il constate l'incompétence du Tribunal, le jugement entrepris constitue une décision finale de première instance et l'on peut retenir, sur la base des allégations des appelantes non contestées par l'intimée, que la valeur litigieuse est supérieure à 10'000 fr., de sorte que la voie de l'appel est ouverte.</w:t>
      </w:r>
    </w:p>
    <w:p>
      <w:r>
        <w:rPr>
          <w:b/>
        </w:rPr>
        <w:t>E. 1.2</w:t>
      </w:r>
    </w:p>
    <w:p>
      <w:r>
        <w:t>Interjeté dans le délai et les formes prescrits par la loi (art. 130, 131, 142 al. 1, 145 al. 1 let. c et 311 al. 1 CPC) auprès de l'autorité compétente (art. 120 al. 1 let. a LOJ), l'appel est recevable.</w:t>
      </w:r>
    </w:p>
    <w:p>
      <w:r>
        <w:rPr>
          <w:b/>
        </w:rPr>
        <w:t>E. 1.3</w:t>
      </w:r>
    </w:p>
    <w:p>
      <w:r>
        <w:t>S'agissant d'un appel, la Cour revoit la cause avec un plein pouvoir d'examen en fait et en droit (art. 310 CPC).</w:t>
      </w:r>
    </w:p>
    <w:p>
      <w:r>
        <w:rPr>
          <w:b/>
        </w:rPr>
        <w:t>E. 1.4</w:t>
      </w:r>
    </w:p>
    <w:p>
      <w:r>
        <w:t>La maxime des débats et le principe de disposition (art. 55 al. 1 et art. 58 al. 1 CPC) sont applicables.</w:t>
      </w:r>
    </w:p>
    <w:p>
      <w:r>
        <w:rPr>
          <w:b/>
        </w:rPr>
        <w:t>E. 2</w:t>
      </w:r>
    </w:p>
    <w:p>
      <w:r>
        <w:t>Les appelantes font grief au Tribunal d'avoir considéré que l'intimée bénéficiait du droit d'exproprier pour la réalisation de l'Eco-Point litigieux et que, de ce fait, les juridictions civiles étaient incompétentes pour trancher du litige. 2.1.1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 Sauf disposition contraire de la loi, le droit cantonal détermine la compétence matérielle des tribunaux (art. 4 al. 1 CPC). A Genève, les tribunaux civils traitent des litiges de droit privé (art. 86 LOJ, RSGE E 2 05) et les autorités et les tribunaux administratifs des litiges de droit public et de droit administratif (art. 116 LOJ). C'est d'après l'objet du litige qu'il y a lieu de déterminer si l'on se trouve en présence d'un litige relevant du droit civil ou du droit public. Cet objet est déterminé par les conclusions de la demande et par les faits invoqués à l'appui de celle-ci (ATF 142 III 210 consid. 2.1 ; arrêt du Tribunal fédéral 5A_101/2021 du 28 mai 2021 consid. 3.1 et la jurisprudence citée ; Hohl, Procédure civile, Tome I, 2016, n. 56 et 61, p. 22 et 23). 2.1.2 Celui qui est atteint ou menacé d’un dommage parce qu’un propriétaire excède son droit, peut actionner ce propriétaire pour qu’il remette les choses en l’état ou prenne des mesures en vue d’écarter le danger, sans préjudice de tous dommages-intérêts (art. 679 al. 1 CC). L'action de l'art. 679 CC tend à la cessation du trouble, par une intervention sur le fonds d'origine de l'immission, ou à sa prévention. Elle a également pour objet la réparation du préjudice, qui peut se faire par des dispositions à prendre sur le fonds touché. En principe, la collectivité publique est soumise à la responsabilité du propriétaire foncier telle qu'elle est prévue par le code civil. Elle répond donc des dommages que l'exploitation des ouvrages cause aux voisins (Bovey, L'expropriation des droits de voisinage, 2000, p. 91), et ce, que le fonds à l'origine des immissions fasse partie du patrimoine fiscal ou administratif de la collectivité (ou dont l'usage est commun) (ATF 143 III 242 consid. 3.5; Steinauer, Les droit réels, Tome II, 2020, n. 2776). L'application des art. 679 ss CC aux immeubles publics ne saurait toutefois avoir pour conséquence d'entraver la collectivité publique dans l'accomplissement de ses tâches (Steinauer, op. cit., n. 2777). C'est pourquoi, lorsque des immissions excessives – au sens de l'art. 684 CC – sont nécessairement liées à l'utilisation ou à l'exploitation conforme à son affectation de l'ouvrage public en cause, les voisins dont les biens-fonds sont touchés par celles-ci peuvent, à certaines conditions, être dépouillés de leurs droits de défense par la voie de l'expropriation formelle (Bovey, op. cit., p. 91). Le Tribunal fédéral a ainsi considéré que dans la mesures où les immissions sont inévitablement causées – soit qu'elles ne peuvent être évitées ou ne peuvent l'être sans frais disproportionnés – par l'utilisation conforme à sa destination d'un ouvrage d'utilité publique pour la réalisation duquel la collectivité disposait du droit d'expropriation, le voisin ne peut pas mettre en œuvre les actions défensives et réparatrices du droit privé prévues à l'art. 679 CC. Ces actions sont remplacées par une prétention en versement d'une indemnité d'expropriation sur lequel le juge de l'expropriation est seul compétent pour statuer (ATF 143 III 242 consid. 3.5 et les arrêts cités ; Bovey, op. cit., p. 167 ; Rey/Strebel, Commentaire bâlois, CC II, 2023, n. 14 ad art. 679 CC). L'action civile n'est ainsi exclue que si les émissions sont inévitables ou évitables seulement au prix de frais disproportionnés (ATF 119 II 411 = JdT 1995 I 349). En revanche, si les immissions excessives liées à l’accomplissement de tâches publiques sont évitables ou sans frais disproportionnés, alors le voisin peut toujours agir en cessation et en prévention du trouble devant le juge civil et exiger en outre, le cas échéant, des dommages-intérêts (Bovey, op. cit., p. 91). Le Tribunal fédéral a ainsi considéré, par exemple, que des mesures adéquates étaient possibles à un coût raisonnable (renforcement des patrouilles de police et du personnel du local) pour éviter que des toxicomanes fréquentant un local ouvert par l'Etat n'utilisent les fonds voisins pour commercer ou se droguer de sorte que l'action civile était recevable (ATF 119 II 411 = JdT 1995 I 349). 2.2.1 En l'espèce, les appelantes ont formé leur demande à l'encontre de l'intimée en se fondant sur les art. 684 et 679 CC. Elles ont allégué que l'Eco-Point et le coffret électrique situés sur la parcelle appartenant à l'intimée, soit le fonds voisin, produisait des immissions – sonores, olfactives, visuelles et que cela produisait de la poussière et attirait les insectes – excessives, de sorte qu'elles ne pouvaient plus profiter de leurs espaces extérieurs, ce qui constituait une atteinte à leurs droits de voisinage, raison pour laquelle l'Eco-Point et le coffret électrique devaient être supprimés. Pour sa part, l'intimée a fait valoir que l'Eco-Point était conforme sur le plan administratif, s'agissant notamment de son autorisation de construire, et avait été conçu afin de limiter au maximum les éventuelles nuisances de sorte que ces dernières étaient extrêmement faibles et ne dépassaient pas le seuil permettant de retenir une violation des règles de voisinage. Il convient de relever que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 ATA/1104/2020 du 3 novembre 2020 consid. 4c ; ATA/310/2006 du 13 juin 2006 consid. 5 ; ATA/653/2004 du 24 août 2004 consid. 2a ; ATA/434/1998 du 28 juillet 1998 consid. 6). Par conséquent, ce n'est pas parce qu'une installation a été autorisée par les autorités administratives qu'elle ne peut pas donner lieu à des litiges relevant du droit privé. Compte tenu de ce qui précède, il doit être constaté que les parties s'opposent notamment et en premier lieu sur la qualification des immissions provenant du fonds de l'intimée. Cette dernière a d'ailleurs refusé d'entrer en matière sur la demande d'expropriation formelle formée par les appelantes en novembre 2021 au motif que les appelantes n'auraient jamais été restreintes, d'une quelconque manière, dans leur droits ou obligations de propriétaires et qu'il n'y avait donc pas matière à les indemniser. Or, ce n'est que si celles-ci sont reconnues comme excessives et ne pouvant être évitées sans frais disproportionnés que la voie de l'expropriation formelle s'impose. Dès lors, avant même d'examiner si l'intimée serait en droit d'exproprier les droits de voisinage des appelantes, il est nécessaire que ces questions soient examinées. Ce n'est que si le juge civil devait constater que les immissions dont les appelantes se plaignent sont excessives et inévitables, qu'il conviendrait alors d'examiner si l'intimée est en droit d'exproprier les appelantes, raison pour laquelle cette question n'a pas été examinée dans le présent arrêt, bien que les parties aient fondé l'essentiel de leur argumentation sur ce point. Par conséquent, faute pour l'intimée d'avoir admis d'emblée l'existence d'immissions excessives inévitables, les autorités civiles sont compétentes pour connaître de la demande formée par les appelantes fondée sur le droit de voisinage. Au vu de ce qui précède, les chiffres 1 et 2 du dispositif du jugement attaqué seront annulés et il sera statué à nouveau dans le sens que le Tribunal est compétent pour connaître de la demande des appelantes, laquelle est recevable sous cet angle. La cause sera renvoyée au Tribunal afin qu'il poursuive l'instruction et rende un jugement sur le fond.</w:t>
      </w:r>
    </w:p>
    <w:p>
      <w:r>
        <w:rPr>
          <w:b/>
        </w:rPr>
        <w:t>E. 3</w:t>
      </w:r>
    </w:p>
    <w:p>
      <w:r>
        <w:t>3.1 Aucune des parties n'obtient, en l'état, gain de cause sur le fond. L'issue du litige ne pouvant être déterminée, les chiffres 3 à 7 du dispositif du jugement seront annulés, le sort des frais et dépens de première instance devant être tranché dans le jugement à prononcer après le présent arrêt de renvoi (art. 318 al. 3 CPC).</w:t>
      </w:r>
    </w:p>
    <w:p>
      <w:r>
        <w:rPr>
          <w:b/>
        </w:rPr>
        <w:t>E. 3.2</w:t>
      </w:r>
    </w:p>
    <w:p>
      <w:r>
        <w:t>Les frais judiciaires de la procédure d'appel seront arrêtés à 2'000 fr. (art. 7, 13, 17 et 36 RTFMC) et seront mis à la charge de l'intimée, qui succombe (art. 106 al. 1 CPC). Ils seront compensés avec l'avance de 1'000 fr. fournie par les appelantes, qui reste acquise à l'Etat de Genève (art. 111 al. 1 CPC). L'intimée sera ainsi condamnée à verser aux appelantes la somme de 1'000 fr. (art. 111 al. 2 CPC) ainsi qu'à s'acquitter d'une somme de 1'000 fr. à l'Etat de Genève, soit pour lui les Services financiers du Pouvoir judiciaire à titre de solde des frais judiciaires d'appel. Elle sera par ailleurs condamnée à payer aux appelantes la somme de 4'000 fr., débours et TVA inclus, à titre de dépens d'appel (art. 84, 85, 87 et 90 RTFMC). * * * * * PAR CES MOTIFS, La Chambre civile : A la forme : Déclare recevable l'appel interjeté le 30 janvier 2023 par l'hoirie de A______ et B______ contre le jugement JTPI/14845/2022 rendu le 14 décembre 2022 par le Tribunal de première instance dans la cause C/6505/2022. Au fond : Annule le jugement entrepris, puis, statuant à nouveau : Constate que le Tribunal de première instance est compétent pour connaître de l'action en cessation de l'atteinte introduite par l'hoirie de A______ et B______ contre la commune de C______. Renvoie la cause au Tribunal de première instance pour suite d'instruction et décision dans le sens des considérants. Déboute les parties de toutes autres conclusions. Sur les frais : Arrête les frais judiciaires d'appel à 2'000 fr. et dit qu'ils sont compensés avec l'avance de 1'000 fr. fournie par l'hoirie de A______ et B______, qui reste acquise à l'Etat de Genève. Met ces frais à la charge de la commune de C______ et la condamne, en conséquence, à verser 1'000 fr. à l'hoirie de A______ et B______ au titre de remboursement des frais judiciaires d'appel ainsi que 1'000 fr. à l'Etat de Genève, soit pour lui les Services financiers du Pouvoir judiciaire à titre de solde des frais judiciaires d'appel. Condamne la commune de C______ à verser 4'000 fr. à l'hoirie de A______ et B______ à titre de dépens d'appel.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