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C/6489/2006 vom 11. Februar 2008</w:t>
      </w:r>
    </w:p>
    <w:p>
      <w:r>
        <w:t>GE Cour de justice, 2008-02-11, FR</w:t>
      </w:r>
    </w:p>
    <w:p>
      <w:r>
        <w:rPr>
          <w:b/>
        </w:rPr>
        <w:t xml:space="preserve">Quelle: </w:t>
      </w:r>
      <w:r>
        <w:t>https://mcp.opencaselaw.ch/entscheid/ge_gerichte_C_6489_2006</w:t>
      </w:r>
    </w:p>
    <w:p>
      <w:r>
        <w:t>FR: GE_GERICHTE C/6489/2006 du 11 février 2008</w:t>
      </w:r>
    </w:p>
    <w:p>
      <w:r>
        <w:t>IT: GE_GERICHTE C/6489/2006 del 11 febbraio 2008</w:t>
      </w:r>
    </w:p>
    <w:p>
      <w:pPr>
        <w:pStyle w:val="Heading2"/>
      </w:pPr>
      <w:r>
        <w:t>Regeste</w:t>
      </w:r>
    </w:p>
    <w:p>
      <w:r>
        <w:t>CONTRAT INDIVIDUEL DE TRAVAIL; BANQUE; RESSOURCES HUMAINES; DIRECTEUR ; RÉSILIATION ABUSIVE; ABUS DE DROIT; APPRÉCIATION DES PREUVES; CONGÉ DE REPRÉSAILLES; GRATIFICATION ; PROTECTION DE LA PERSONNALITÉ; TORT MORAL; DONNÉES PERSONNELLES; CERTIFICAT DE TRAVAIL; MODIFICATION(EN GÉNÉRAL) | A l'instar des premiers juges, la Cour confirme que le licenciement de T, responsable des ressources humaines auprès de la banque E, ne peut être considéré comme abusif. Rappelant la jurisprudence selon laquelle l'abus de résiliation du contrat peut découler, également, de la façon dont la partie qui met fin au contrat exerce son droit, la Cour parvient à la conclusion que, dans le cas d'espèce, aucun reproche ne peut être fait à E dans la manière de licencier T. En substance, elle indique que la décision de libérer immédiatement T de son obligation de travailler et de l'accompagner dans ses déplacements jusqu'à son départ étaient justifiés en raison du poste qu'elle occupait, lequel impliquait des responsabilités importantes et partant, un accès à des données sensibles. Enfin, la Cour constate qu'en refusant à T, au moment de son licenciement, qu'elle prélève ses courriels personnels, E n'a pas violé l'article 328 al. 1er CO et par conséquent, ne lui a pas causé de tort moral dans la mesure où, notammnent, elle les lui avait par la suite copié sur un DVD et restitué. | CO.319; CO.322d; CO.328; 330a; CO.335.al1; CO.336; LPC.196; LJP.76; CC.2al.2</w:t>
      </w:r>
    </w:p>
    <w:p>
      <w:pPr>
        <w:pStyle w:val="Heading2"/>
      </w:pPr>
      <w:r>
        <w:t>Erwägungen</w:t>
      </w:r>
    </w:p>
    <w:p>
      <w:r>
        <w:rPr>
          <w:b/>
        </w:rPr>
        <w:t>E. 1</w:t>
      </w:r>
    </w:p>
    <w:p>
      <w:r>
        <w:t>L'appel a été interjeté dans le délai et suivant la forme prescrits par la loi, il est partant recevable selon les art. 56 ss de la loi sur la juridiction des prud’hommes (ci-après LJP).</w:t>
      </w:r>
    </w:p>
    <w:p>
      <w:r>
        <w:rPr>
          <w:b/>
        </w:rPr>
        <w:t>E. 2</w:t>
      </w:r>
    </w:p>
    <w:p>
      <w:r>
        <w:t>Les parties ont été liées par un contrat de travail au sens des art. 319 et ss CO. La juridiction des prud’hommes est par conséquent compétente à raison de la matière pour connaître du présent litige (art. 1 al. 1 LJP), ainsi qu'à raison du lieu (art. 24 et 34 al. 1 de la Loi fédérale sur les fors en matière civile), l’appelante étant domiciliée à Genève et ayant travaillé en cette ville.</w:t>
      </w:r>
    </w:p>
    <w:p>
      <w:r>
        <w:rPr>
          <w:b/>
        </w:rPr>
        <w:t>E. 3.1</w:t>
      </w:r>
    </w:p>
    <w:p>
      <w:r>
        <w:t>Selon l’art. 196 LPC, applicable à titre supplétif en matière prud’homale (art. 11 LJP), le juge apprécie librement les résultats des mesures probatoires.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citées), cette faculté doit être utilisée avec prudence et réserve (Bertossa/Gaillard/Guyet/Schmidt, Commentaire de la loi de procédure civile genevoise, n° 3 ad art. 196 LPC). Une offre de preuve, c’est-à-dire la requête en vue de faire administrer une preuve ou un des moyens admis par la loi, ne peut donc être écartée que si les faits allégués ne sont pas pertinents ou pas suffisamment circonstanciés (ATF 105 II 144 ; 98 II 117 ),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31 ).</w:t>
      </w:r>
    </w:p>
    <w:p>
      <w:r>
        <w:rPr>
          <w:b/>
        </w:rPr>
        <w:t>E. 3.2</w:t>
      </w:r>
    </w:p>
    <w:p>
      <w:r>
        <w:t>En l’espèce, la Cour estime disposer des éléments nécessaires et suffisants pour forger sa conviction et trancher les questions qui lui sont soumises. Il ressort en effet des nombreux témoignages recueillis et des pièces produites une convergence claire qui permet de bien comprendre la situation qui régnait au sein de la banque en 2005 ainsi que les motifs qui ont incité cette dernière à se séparer de l'appelante. Pour l'ensemble de ces motifs, la cause sera donc jugée sans enquêtes ni apport de pièces supplémentaires.</w:t>
      </w:r>
    </w:p>
    <w:p>
      <w:r>
        <w:rPr>
          <w:b/>
        </w:rPr>
        <w:t>E. 4</w:t>
      </w:r>
    </w:p>
    <w:p>
      <w:r>
        <w:t>4.1.1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(arrêt 4C.174/2004 du 5 août 2004, consid. 2.1; ATF 127 III 86 consid. 2a). Le droit fondamental de chaque cocontractant de mettre unilatéralement fin au contrat est cependant limité par les dispositions sur le congé abusif (art. 336 et ss CO; ATF 130 III 699 consid. 4.1). L'énumération prévue dans la loi n'est pas exhaustive (cf. ATF 125 III 70 consid. 2a; 123 III 246 consid. 3b). Elle concrétise avant tout l'interdiction générale de l'abus de droit et en aménage les conséquences juridiques pour le contrat de travail. D'autres situations constitutives de congé abusif sont donc également admises par la pratique (cf. Rehbinder/Portmann, Commentaire bâlois, N 22 ss ad art. 336 CO). Elles doivent toutefois comporter une gravité comparable aux cas expressément mentionnés à l'art. 336 CO (arrêt 4C.174/2004 précité, consid. 2.1 et les arrêts cités). 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(ATF 125 III 70 consid. 2b; 118 II 157 consid. 4b/cc p. 167).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précité, consid. 2.1 in fine). Par exemple, le fait pour l'employeur d'avoir affirmé à son collaborateur qu'il ne serait pas licencié et de lui notifier son congé une semaine plus tard est un comportement qui n'est certes pas correct, mais qui ne rend pas à lui seul le congé abusif (consid. 3b non publié de l'ATF 128 III 129 , traduit in SJ 2002 I p. 389). 4.1.2 Il faut souligner que l'interdiction de l'abus de droit au sens de l'art. 2 al. 2 CC réprime bien davantage que de simples chicanes; elle ne suppose en revanche pas que celui qui abuse de son droit ait l'intention de nuire ni que le procédé utilisé soit lui-même immoral (Mayer-Maly, Commentaire bâlois, éd. 1996, N 8 ad art. 2 CC). Il peut ainsi y avoir abus de droit en cas de disproportion évidente des intérêts en présence, en particulier lorsque la norme applicable a justement pour but de mettre en place une certaine balance des intérêts (Merz, Commentaire bernois, N 371 ss ad art. 2 CC).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L'idée sous-jacente est avant tout d'offrir une protection sociale au salarié licencié abusivement, dès lors que la protection du congé n'a pas de portée pratique pour l'employeur (Vischer, op. cit., N 4 ad art. 336 CO; Rehbinder, Commentaire bernois, N 3 ad art. 336 CO). Hormis les cas de disproportion des intérêts, l'abus peut aussi résulter de l'exercice d'un droit contrairement à son but (cf. Baumann, Commentaire zurichois, N 354 ad art. 2 CC; Merz, Commentaire bernois, N 316 ad art. 2 CC).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(Merz, op. cit., N. 51 ad art. 2 CC; Meier-Hayoz, Commentaire bernois, N 192 ss ad art. 1 CC).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Saint-Etienne 2001, p. 101 ss, 109). 4.1.3 Tous les témoignages qui sont favorables à l'appelante proviennent d'employés, ou de dirigeants, qui ont travaillé avec elle dès son engagement et jusqu'en janvier 2005 au plus tard. Or, les reproches qui lui ont été adressés au moment de son licenciement concernent la situation telle qu'elle a évolué à partir de l'été 2005. Peu importe en conséquence que l'attitude de l'appelante ait été remarquable de février 2004 à janvier 2005 si elle ne correspondait plus aux attentes de la direction six mois plus tard et qu'elle n'a pas évolué entre ledit été et octobre 2005, soit à une époque où une modification du comportement de l'appelante était attendu. S'agissant des circonstances dans lesquelles le licenciement est intervenu, il faut rappeler que la demanderesse occupait un poste de cadre supérieur, impliquant des responsabilités importantes et, partant, un accès à des données sensibles. Directrice des ressources humaines, elle possédait des informations confidentielles, si ce n'est sur la clientèle, tout au moins sur l'ensemble du personnel, y compris sur l'encadrement de la banque et le système de rémunération appliqué. La décision de libérer immédiatement la demanderesse de son obligation de travailler et d'accompagner ses déplacements jusqu'à son départ des locaux trouve ainsi sa justification dans le souci de la défenderesse de protéger ses intérêts, ceux de son personnel ou du personnel d'autres sociétés du groupe, voire ceux de ses clients. L'on ne saurait pas non plus reprocher à la défenderesse d'avoir caché le véritable objet de l'entretien du 27 octobre 2006, dès lors qu'il s'agissait du seul moyen permettant à la banque de conserver la maîtrise des événements après l'annonce du licenciement 4.2.1 Selon l'art. 336 al. 1 let. d CO, un congé est abusif lorsqu'il est donné par une partie parce que l'autre partie fait valoir de bonne foi des prétentions résultant du contrat de travail. 4.2.2 Pour tenter de démontrer le lien de causalité entre les prétentions élevées au sujet du bonus et le licenciement, l'appelante ne prend appui que sur sa conviction, laquelle se situe hors toute chronologie. En effet, le 27 octobre 2005, date du licenciement, l'appelante n'avait encore émis aucune prétention s'agissant de percevoir un bonus semblable à celui qu'elle avait perçu la première année. Partant, ce fait ne pouvait être la cause du licenciement. Par ailleurs, une analyse rigoureuse des conditions de délivrance de la part de 15'000 US$ du premier bonus permet à chacun d'en apprécier le caractère exceptionnel. Dans ces conditions, mettre en exergue la volonté de la banque de ne pas verser ce qu'elle ne doit manifestement pas n'est d'aucun secours à l'appelante. La référence qu'elle fait à l'art. 336 al. 1 let. d CO est donc sans pertinence, pour ne pas dire qu'elle se situe à l'orée de la témérité.</w:t>
      </w:r>
    </w:p>
    <w:p>
      <w:r>
        <w:rPr>
          <w:b/>
        </w:rPr>
        <w:t>E. 5</w:t>
      </w:r>
    </w:p>
    <w:p>
      <w:r>
        <w:t>5.1 Selon l'art. 328 al. 1 CO, l'employeur protège et respecte, dans les rapports de travail, la personnalité du travailleur. La violation des obligations prévues à cette disposition engage la responsabilité contractuelle de l'employeur (art. 97 ss CO) pour le tort moral causé au travailleur, aux conditions fixées par l'art. 49 al. 1 CO (cf. art. 99 al. 3 CO) (ATF 130 III 699 consid. 5.1 p. 704; cf. également ATF 125 III 70 consid. 3a p. 74). Pour justifier l'allocation d'une indemnité pour tort moral fondée sur l'art. 49 al. 1 CO, il ne suffit pas que le tribunal constate une violation de l'art. 328 CO;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(arrêt 4A_128/2007 du 9 juillet 2007, consid. 2.3; cf. ATF 130 III 699 consid. 5.1 p. 704; 125 III 70 consid. 3a p. 74/75).</w:t>
      </w:r>
    </w:p>
    <w:p>
      <w:r>
        <w:rPr>
          <w:b/>
        </w:rPr>
        <w:t>E. 5.2</w:t>
      </w:r>
    </w:p>
    <w:p>
      <w:r>
        <w:t>Objectivement, la manière utilisée par l'intimée pour se séparer de l'appelante s'est révélée vive, dans le refus manifesté de lui laisser la possibilité de prélever, dans l'ordinateur, ses courriels personnels. Il sied cependant de restituer ces faits dans leur contexte, à savoir que, s'agissant d'un cadre supérieur au bénéfice de renseignements importants sur la marche de la banque, il n'était pas envisageable de le laisser poursuivre ses activités dans les locaux. En sus, ledit n'était pas supposé détenir beaucoup de courriels personnels dans son ordinateur, de sorte que les copier sur un support pour les lui faire parvenir ensuite paraissait raisonnable. Il semblerait que des problèmes techniques dont la cause n'est pas connue, ou n'apparaît en tout cas pas fautive vis-à-vis de la banque, ait retardé cette transmission. Enfin, l'appelante, à qui la charge de cette preuve incombait, n'a pas démontré que des employés de l'intimée avaient réellement eu accès à ses courriels. Certes, si tel avait été le cas, il y aurait eu atteinte à la sphère privée de l'appelante. Cependant, subjectivement, on ne saurait admettre que, dans le contexte de l'espèce, une telle atteinte eut affecté l'appelante au point de la faire souffrir dans une mesure nécessitant le recours au juge. Dès lors, quel que soit l'angle par lequel il convient d'analyser les faits en cause, ceux-ci n'ouvrent pas à l'appelante la voie à une réparation du tort moral. La décision querellée sera donc également confirmée sur ce point. Quant au délai qui s'est avéré nécessaire pour que l'appelante parvienne à récupérer les courriels personnels enregistrés sur son compte informatique professionnel, il ne saurait avoir porté atteinte à sa personnalité, pas plus qu'il n'a eu d'incidence quant au caractère prétendument inacceptable de son licenciement. A cet égard, avec les premiers juges, il convient de relever que l'appelante utilisait la boîte de messagerie professionnelle pour recevoir ses courriels privés et qu'elle ne prenait pas la précaution de les stocker ailleurs que sur son compte professionnel, participant ainsi à la survenance du litige et augmentant les difficultés pratiques rencontrées par la banque pour s'assurer, sans violer la législation en vigueur sur la protection des données, qu'elle ne transmettait pas des données professionnelles à son ancienne employée. Preuve en est que l'appelante a finalement reçu, parmi ses messages privés, des pièces de nature professionnelle, dont elle a fait usage dans le cadre de la présente procédure. Enfin, le fait de ne pas avoir annoncé à l'appelante la nature de l'entretien du 27 octobre 2005 n'est pas constitutif d'une violation par l'intimée de ses devoirs envers l'appelante, dès lors qu'il s'agissait du seul moyen permettant à la banque de conserver la maîtrise des événements après l'annonce du licenciement.</w:t>
      </w:r>
    </w:p>
    <w:p>
      <w:r>
        <w:rPr>
          <w:b/>
        </w:rPr>
        <w:t>E. 6</w:t>
      </w:r>
    </w:p>
    <w:p>
      <w:r>
        <w:t>L’objet du présent litige porte également sur la délivrance d'un bonus particulier, attribué à l'appelante la première année et dont elle sollicite le reconduction pour la seconde.</w:t>
      </w:r>
    </w:p>
    <w:p>
      <w:r>
        <w:rPr>
          <w:b/>
        </w:rPr>
        <w:t>E. 6.1</w:t>
      </w:r>
    </w:p>
    <w:p>
      <w:r>
        <w:t>La gratification, au sens de l'art. 322d CO,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 le treizième mois de salaire ou une autre rétribution semblable entièrement déterminée par le contrat (ATF 109 II 447 consid. 5c). L'engagement de l'employeur de verser une gratification peut être prévu dans le contrat de travail ou résulter, pendant les rapports de travail, d'actes concluants, comme le versement régulier et sans réserve d'une gratification (Brunner/Bühler/Waeber, Commentaire du contrat de travail, 2e éd., n. 5 ad art. 322d CO, p. 55); il est ainsi admis qu'une gratification est due lorsque l'employeur l'a versée au moins trois fois sans interruption, c'est-à-dire trois années consécutives, et sans réserve (arrêt 4P. 284/1996 du 7 octobre 1997, consid. 2a in fine; Staehelin, Commentaire zurichois, n. 9 ad art. 322d CO, Rehbinder, Commentaire bernois, n. 6 ad art. 322d CO; Rémy Wyler, Droit du travail, Berne 2002, p. 120). Si les parties se sont entendues uniquement sur le principe, le montant de la gratification pourra dépendre de la qualité des prestations du travailleur (Staehelin, op. cit., n. 24 ad art. 322d CO; Rehbinder, op. cit., n. 16 ad art. 322d CO). Les parties peuvent également soumettre, expressément ou tacitement, le versement de la gratification à des conditions (Staehelin, op. cit., n. 25 ad art. 322d CO).</w:t>
      </w:r>
    </w:p>
    <w:p>
      <w:r>
        <w:rPr>
          <w:b/>
        </w:rPr>
        <w:t>E. 6.2</w:t>
      </w:r>
    </w:p>
    <w:p>
      <w:r>
        <w:t>En l'occurrence, le bonus versé durant la première année revêtait un aspect particulier et constituait en quelque sorte une compensation pour l'effort salarial consenti par l'appelante pour rejoindre l'intimée, selon les propos non contredits de cette dernière. Ce bonus était d'ailleurs scindé en deux versements distincts l'un de l'autre, tant en ce qui concerne le montant que la date du versement, de même que de sa restitution, ce qui n'est pas courant. En effet, le premier versement devait intervenir avec le premier salaire et comportait un caractère conditionnel important, à savoir qu'il était remboursable en cas de congé donné par l'appelante durant la première année ou si elle venait à être licenciée pour faute grave. Cette spécificité démontre la volonté de créer un événement unique, parfaitement reconnaissable comme tel par chacun, de sorte que l'insistance de l'appelante à réclamer le versement de cette part de bonus de 15'000 US$ au mépris des circonstances susvisées confine à la témérité. Elle sera donc déboutée de cette prétention et la décision entreprise doit également être confirmée sur ce point.</w:t>
      </w:r>
    </w:p>
    <w:p>
      <w:r>
        <w:rPr>
          <w:b/>
        </w:rPr>
        <w:t>E. 7</w:t>
      </w:r>
    </w:p>
    <w:p>
      <w:r>
        <w:t>L'appelante sollicite le versement de divers montants correspondant à la différence entre le salaire qui lui avait été versé en janvier et février 2006 et les indemnités que l'intimée avait reçu de l'assurance. En appel, elle réduit sa prétention à 1'126 fr. 65, en admettant avoir reçu 1'787 fr. 05, mais l'augmente en raison de retenues de l'intimée qui devaient être versées à sa caisse de pension. Il y a lieu d'emblée de relever que la compétence de la Cour n'est pas donnée pour trancher ce problème. Quant au versement restant, l'appelante ne critique nullement le calcul des premiers juges, se contentant de reproduire ceux qu'elle leur avait soumis et qui ont été écartés. La Cour considère qu'il n'y a pas de motif de statuer différemment. En effet, il est établi que l'intimée a versé à l'appelante l'intégralité du salaire de janvier 2006, nonobstant la carence de trois jours qui suit la naissance d'une période de maladie, de sorte que rien ne lui est dû pour cette période. En revanche, dès la fin des rapports de travail, soit février 2006, l'appelante pouvait prétendre au paiement de ses indemnités journalières, soit pour le mois en cause, 16'894 fr. 45 net, (28 x 603.373). C'est ce montant que l'intimée a reçu de sa compagnie d'assurances. Cependant, elle n'a versé à son ancienne employée que son salaire mensuel (15'833.35) et une participation au paiement des primes d'assurance maladie (430.-), soit un montant total de 16'263 fr. 35 brut. Sur ce montant, elle aurait dû prélever 1'800 fr. 35 de cotisations sociales (16'263.35 x 11.07%); or, elle n'a remboursé que 1'787 fr. 05 à l'appelante, de sorte que cette dernière a effectivement droit à 13 fr. 30, correspondant à la différence entre ces deux montants. La décision entreprise sera donc également confirmée à ce sujet.</w:t>
      </w:r>
    </w:p>
    <w:p>
      <w:r>
        <w:rPr>
          <w:b/>
        </w:rPr>
        <w:t>E. 8</w:t>
      </w:r>
    </w:p>
    <w:p>
      <w:r>
        <w:t>L'appelante sollicite enfin la modification de son certificat de travail.</w:t>
      </w:r>
    </w:p>
    <w:p>
      <w:r>
        <w:rPr>
          <w:b/>
        </w:rPr>
        <w:t>E. 8.1</w:t>
      </w:r>
    </w:p>
    <w:p>
      <w:r>
        <w:t>Conformément à l’article 330 a CO, l’employé peut demander en tout temps à l’employeur un certificat portant sur la nature et la durée des rapports de travail, ainsi que sur la qualité du travail et sa conduite (al. 1 er ). A sa demande expresse, le certificat ne porte que sur la nature et la durée des rapports de travail (al. 2). Le contenu du certificat doit être exact, c’est-à-dire, de manière générale, être conforme à la réalité et complet (ATF du 4 juillet 2000 en la cause 4C.463/1999 , consid. 10b ; JAR 1998, p. 167 ; Brühwiler, Kommentar zum Einzelarbeitsvertrag, 2 ème éd., n. 4 ad art. 330 a CO ; Staehelin/Vischer, Zürcher Kommentar, n. 10 ad art. 330 a CO). La formulation du certificat incombe au premier chef à l’employeur (Janssen, op. cit. , p. 67). Une appréciation négative sur la qualité du travail ou la conduite du travailleur peut être exprimée, pour autant qu’elle soit pertinente et fondée (CAPH du 8 avril 2003 en la cause C/16779/2002-5 ; Wyler, Droit du travail, 2002, p. 272 ; Staehelin/Vischer, op. cit. n. 11 ad art. 330 a CO ; Streiff/von Kaenel, Leitfaden zum Arbeitsvertragsrecht, 5 ème éd., n. 8 in fine ad art. 330 a CO). Doctrine et jurisprudence admettent, d’autre part, que l’employé peut exiger judiciairement la correction d’un texte comportant des indications inexactes, respectivement incomplètes, ou des appréciations inutilement péjoratives (CAPH du 8 avril 2003 en la cause C/16779/2002-5, et les références citées).</w:t>
      </w:r>
    </w:p>
    <w:p>
      <w:r>
        <w:rPr>
          <w:b/>
        </w:rPr>
        <w:t>E. 8.2</w:t>
      </w:r>
    </w:p>
    <w:p>
      <w:r>
        <w:t>Ces principes ont été opportunément rappelés par les premiers juges, qui en ont tiré les conséquences qui s'imposaient en rédigeant un certificat de travail exempt de reproches. La phrase dont l'appelante sollicite l'adjonction ne répond pas aux critères d'exactitude susvisés, au regard des reproches formulés par plusieurs dirigeants et employés, ou ex-employés, de l'intimée. En conséquence, l’instruction de la cause n’ayant pas permis de confirmer l'existence des qualités qu'elle souhaitait voir reconnues, ses conclusions seront écartées.</w:t>
      </w:r>
    </w:p>
    <w:p>
      <w:r>
        <w:rPr>
          <w:b/>
        </w:rPr>
        <w:t>E. 9</w:t>
      </w:r>
    </w:p>
    <w:p>
      <w:r>
        <w:t>L’art. 76 al. 1 LJP consacre la gratuité de la procédure. Cependant, l’art. 60 LJP déroge à ce principe en prévoyant un émolument de mise au rôle en cas d’appel, conformément au tarif fixé par l’Etat, lorsque le montant litigieux excède 30'000 fr. 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 Il n'y a pas lieu en l'espèce de déroger à ces principes.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