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C/6416/2013 vom 13. Dezember 2013</w:t>
      </w:r>
    </w:p>
    <w:p>
      <w:r>
        <w:t>GE Cour de justice, 2013-12-13, FR</w:t>
      </w:r>
    </w:p>
    <w:p>
      <w:r>
        <w:rPr>
          <w:b/>
        </w:rPr>
        <w:t xml:space="preserve">Quelle: </w:t>
      </w:r>
      <w:r>
        <w:t>https://mcp.opencaselaw.ch/entscheid/ge_gerichte_C_6416_2013</w:t>
      </w:r>
    </w:p>
    <w:p>
      <w:r>
        <w:t>FR: GE_GERICHTE C/6416/2013 du 13 décembre 2013</w:t>
      </w:r>
    </w:p>
    <w:p>
      <w:r>
        <w:t>IT: GE_GERICHTE C/6416/2013 del 13 dicembre 2013</w:t>
      </w:r>
    </w:p>
    <w:p>
      <w:pPr>
        <w:pStyle w:val="Heading2"/>
      </w:pPr>
      <w:r>
        <w:t>Regeste</w:t>
      </w:r>
    </w:p>
    <w:p>
      <w:r>
        <w:t>MAINLEVÉE DÉFINITIVE; TITRE DE MAINLEVÉE | LP.80; LP.81</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entreprise doit être attaquée dans un délai de dix jours dès sa notification (art. 321 al. 2 CPC) par un recours, écrit et motivé, conforme aux art. 130 et 131 CPC, adressé à la Cour de justice. Dans le cas d'espèce, le recours a été interjeté selon la forme et le délai prescrits.</w:t>
      </w:r>
    </w:p>
    <w:p>
      <w:r>
        <w:rPr>
          <w:b/>
        </w:rPr>
        <w:t>E. 1.2</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(ATF 137 III 617 consid. 4.2 et 4.3 p. 618). Les exigences sont identiques s'agissant du recours (cf. Chaix, Introduction au recours de la nouvelle procédure civile fédérale, in SJ 2009, p. 265, n° 14, s'agissant de la motivation du recours). En l'occurrence, le recourant a conclu à l'annulation du jugement entrepris et à ce qu'il soit constaté qu'il n'a jamais été l'associé-gérant de B______SARL et qu'il n'est pas l'auteur du dommage subi par la Caisse. A la lecture du contenu de l'acte de recours, on comprend toutefois que le recourant reproche au premier juge d'avoir prononcé la mainlevée définitive de l'opposition formée au commandement de payer litigieux, puisqu'il ne s'estime pas débiteur des montants réclamés. Le recours sera dès lors déclaré recevable en tant qu'il vise l'annulation du jugement entrepris et le rejet de la requête de mainlevée définitive. En revanche, les conclusions constatatoires sont irrecevables.</w:t>
      </w:r>
    </w:p>
    <w:p>
      <w:r>
        <w:rPr>
          <w:b/>
        </w:rPr>
        <w:t>E. 1.3</w:t>
      </w:r>
    </w:p>
    <w:p>
      <w:r>
        <w:t>Le recours peut être formé pour violation du droit et constatation manifestement inexacte des faits (art. 320 CPC).</w:t>
      </w:r>
    </w:p>
    <w:p>
      <w:r>
        <w:rPr>
          <w:b/>
        </w:rPr>
        <w:t>E. 2</w:t>
      </w:r>
    </w:p>
    <w:p>
      <w:r>
        <w:t>Les conclusions, les allégations de faits et les preuves nouvelles sont irrecevables (art. 326 al. 1 CPC). La Cour de justice doit en effet se placer dans la situation où se trouvait le premier juge lorsque celui-ci a rendu la décision attaquée. Partant, les trois chargés de pièces produits par le recourant devant la Cour le 23 juillet 2013 sont irrecevables.</w:t>
      </w:r>
    </w:p>
    <w:p>
      <w:r>
        <w:rPr>
          <w:b/>
        </w:rPr>
        <w:t>E. 3</w:t>
      </w:r>
    </w:p>
    <w:p>
      <w:r>
        <w:t>3.1 A teneur de l'art. 80 al. 1 LP, le créancier qui est au bénéfice d'un jugement exécutoire peut requérir du juge la mainlevée définitive de l'opposition. Sont assimilées à des jugements les décisions des autorités administratives suisses (art. 80 al. 2 ch. 2 LP), c'est-à-dire une autorité de la Confédération ou une autorité cantonale (Staehelin, SchKG, Commentaire bâlois, n° 102 ad art. 80 LP). Selon les art. 49 et 54 de la Loi fédérale sur la partie générale du droit des assurances sociales (LPGA - RS 830.1), applicables par renvoi de l'art. 1 LAVS (RS 831.10), les décisions en matière d'assurances sociales sont exécutoires lorsqu'elles ne peuvent plus être attaquées par une opposition ou un recours. Si elles portent condamnation à payer une somme d'argent, elles sont assimilées aux jugements exécutoires au sens de l'art. 80 LP.</w:t>
      </w:r>
    </w:p>
    <w:p>
      <w:r>
        <w:rPr>
          <w:b/>
        </w:rPr>
        <w:t>E. 3.2</w:t>
      </w:r>
    </w:p>
    <w:p>
      <w:r>
        <w:t>En l'espèce, les deux décomptes du 12 août 2009 sur lesquels l'intimée fonde sa créance émanaient d'une autorité administrative suisse, portaient condamnation à payer une somme d'argent et mentionnaient une voie d'opposition. Elles portent la mention selon laquelle elles n'ont pas fait l'objet de l'opposition précitée. En outre, l'arrêt ATAS/2______ rendu le 30 novembre 2010 par le Tribunal cantonal des assurances sociales et l'arrêt ATAS/3______rendu le 25 mai 2011 par la Chambre des assurances sociales de la Cour de justice confirment que les décisions du 12 août 2009 sont définitives et exécutoires. Au vu des principes énoncés ci-dessus, ces deux décomptes sont des décisions exécutoires, partant des titres de mainlevée définitive, au sens de l'art. 80 LP.</w:t>
      </w:r>
    </w:p>
    <w:p>
      <w:r>
        <w:rPr>
          <w:b/>
        </w:rPr>
        <w:t>E. 4</w:t>
      </w:r>
    </w:p>
    <w:p>
      <w:r>
        <w:t>4.1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113 III 82 consid. 2c).</w:t>
      </w:r>
    </w:p>
    <w:p>
      <w:r>
        <w:rPr>
          <w:b/>
        </w:rPr>
        <w:t>E. 4.2</w:t>
      </w:r>
    </w:p>
    <w:p>
      <w:r>
        <w:t>In casu , le recourant critique les décisions produites par l'intimée, alléguant qu'il ne serait ni le débiteur de la caisse ni le responsable du dommage qu'elle a subi. Contrairement à ce que soutient le recourant, la question de savoir s'il était associé-gérant ou non de la faillie, ainsi que ses griefs relatifs à l'inscription de B______SARL au Registre du commerce, ne peuvent être revus dans le cadre de la procédure de mainlevée, le juge de la mainlevée définitive n'ayant pas à revoir le titre produit par le créancier (ATF 124 III 501 consid. 3a précité). Par ailleurs, s'il est exact que l'arrêt ATAS/3______rendu le 25 mai 2011 par la Chambre des assurances de la Cour de justice indique que l'intimée devait se prononcer par une décision formelle sur la demande en restitution des sommes retenues à tort sur la rente de vieillesse du recourant, il n'est ni allégué ni rendu vraisemblable que ces sommes n'auraient pas été restituées, le recourant - qui n'invoque au demeurant pas formellement la compensation - se bornant à critiquer la lenteur dans la restitution du montant dû. Il a de surcroît produit un avis de crédit attestant du paiement par l'intimée de 2'000 fr. au titre de remboursement de quatre mensualités de 500 fr. retenues sur sa rente dans l'affaire B______SARL. Par conséquent, le grief tiré d'une éventuelle contre-créance exigible n'est pas établi.</w:t>
      </w:r>
    </w:p>
    <w:p>
      <w:r>
        <w:rPr>
          <w:b/>
        </w:rPr>
        <w:t>E. 5</w:t>
      </w:r>
    </w:p>
    <w:p>
      <w:r>
        <w:t>Le recourant invoque encore la mauvaise foi de l'intimée, qui agirait à son encontre alors que la société B______SARL avait été créée pour procurer des revenus d'existence à C______.</w:t>
      </w:r>
    </w:p>
    <w:p>
      <w:r>
        <w:rPr>
          <w:b/>
        </w:rPr>
        <w:t>E. 5.1</w:t>
      </w:r>
    </w:p>
    <w:p>
      <w:r>
        <w:t>Est constitutif d'un abus de droit l'absence d'intérêt à l'exercice d'un droit, l'utilisation d'une institution juridique contrairement à son but, la disproportion manifeste des intérêts en présence, l'exercice d'un droit sans ménagement ou encore l'attitude contradictoire (arrêt du Tribunal fédéral 4C.344/2002 du 12 novembre 2003 consid. 5.1).</w:t>
      </w:r>
    </w:p>
    <w:p>
      <w:r>
        <w:rPr>
          <w:b/>
        </w:rPr>
        <w:t>E. 5.2</w:t>
      </w:r>
    </w:p>
    <w:p>
      <w:r>
        <w:t>Il a été rappelé ci-dessus que le juge de la mainlevée définitive ne doit pas trancher des questions de droit matériel délicates ou pour la solution desquelles le pouvoir d'appréciation joue un rôle important; il en va de même de la question de savoir si le comportement du créancier constitue un abus de droit et viole les règles de la bonne foi (ATF 124 III 501 consid. 3a; Schmidt, in Commentaire romand, LP, 2005, n. 10 ad art. 81). La Cour de céans ne peut dès lors entrer en matière sur le grief d'abus de droit soulevé par le recourant. Le recours sera dès lors rejeté.</w:t>
      </w:r>
    </w:p>
    <w:p>
      <w:r>
        <w:rPr>
          <w:b/>
        </w:rPr>
        <w:t>E. 6</w:t>
      </w:r>
    </w:p>
    <w:p>
      <w:r>
        <w:t>Le recourant qui succombe sera condamné aux frais du recours (art. 95 al. 1 CPC et 106 al. 1 et 3 CPC), fixés à 300 fr. (61 al. 1 OELP) et compensés avec l'avance de frais du même montant, qui reste acquise à l'Etat (art. 111 al. 1 CPC). L'intimée ayant comparu en personne et ayant répondu par un simple courrier, il ne lui sera pas alloué de dépens (art. 95 al. 3 CPC). * * * * * PAR CES MOTIFS, La Chambre civile : A la forme : Déclare recevable le recours interjeté par A______ contre le jugement JTPI/9413/2013 rendu le 4 juillet 2013 par le Tribunal de première instance dans la cause C/6416/2013-10 SML, à l'exclusion des conclusions visant à constater que le recourant n'a jamais été l'associé-gérant de B______SARL et qu'il n'est pas l'auteur du dommage de la caisse, qui sont irrecevables. Déclare irrecevable les trois chargés de pièces produites par A______ le 23 juillet 2013. Au fond : Rejette le recours. Arrête les frais judiciaires d'appel à 300 fr., les met à charge de A______ et dit qu'ils sont compensés par l'avance de frais fournie, qui reste acquise à l'Etat. Dit qu'il n'est pas alloué de dépens. Déboute les parties de toutes autres conclusions.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