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C/6373/2018 vom 17. September 2018</w:t>
      </w:r>
    </w:p>
    <w:p>
      <w:r>
        <w:t>GE Cour de justice, 2018-09-17, FR</w:t>
      </w:r>
    </w:p>
    <w:p>
      <w:r>
        <w:rPr>
          <w:b/>
        </w:rPr>
        <w:t xml:space="preserve">Quelle: </w:t>
      </w:r>
      <w:r>
        <w:t>https://mcp.opencaselaw.ch/entscheid/ge_gerichte_C_6373_2018</w:t>
      </w:r>
    </w:p>
    <w:p>
      <w:r>
        <w:t>FR: GE_GERICHTE C/6373/2018 du 17 septembre 2018</w:t>
      </w:r>
    </w:p>
    <w:p>
      <w:r>
        <w:t>IT: GE_GERICHTE C/6373/2018 del 17 settembre 2018</w:t>
      </w:r>
    </w:p>
    <w:p>
      <w:pPr>
        <w:pStyle w:val="Heading2"/>
      </w:pPr>
      <w:r>
        <w:t>Regeste</w:t>
      </w:r>
    </w:p>
    <w:p>
      <w:r>
        <w:t>CAS CLAIR ; EXPULSION DE LOCATAIRE ; DÉFAUT DE PAIEMENT | CPC.257; CO.257d; LaCC.207; CO.270.al2</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les locataires soutiennent que la réalisation des conditions d'une résiliation du bail pour défaut de paiement du loyer n'est pas remplie et contestent ainsi leur évacuation. Compte tenu du montant du loyer, la valeur litigieuse est largement supérieure à 10'000 fr. (6'852 fr. 60 + 400 fr. x 9 mois), de sorte que la voie de l'appel est ouverte.</w:t>
      </w:r>
    </w:p>
    <w:p>
      <w:r>
        <w:rPr>
          <w:b/>
        </w:rPr>
        <w:t>E. 1.2</w:t>
      </w:r>
    </w:p>
    <w:p>
      <w:r>
        <w:t>L'appel a été interjeté dans le délai et suivant la forme prescrits par la loi (art. 130, 131, 311 al. 1 CPC). Il est ainsi recevable. Il en va de même de l'écriture responsive (art. 248 let. d, 312 al. 1 et 314 al. 1 CPC) ainsi que des déterminations subséquentes des parties (ATF 138 I 154 consid. 2.3.3; 137 I 195 consid. 2.3.1 = SJ 2011 I 345).</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w:t>
      </w:r>
    </w:p>
    <w:p>
      <w:r>
        <w:rPr>
          <w:b/>
        </w:rPr>
        <w:t>E. 3</w:t>
      </w:r>
    </w:p>
    <w:p>
      <w:r>
        <w:t>Les appelantes soutiennent que le cas n'est pas clair dès lors que l'intimée ne leur a pas notifié d'avis de fixation de loyer initial. Par ailleurs, les loyers avaient été soumis à la TVA jusqu'au 31 décembre 2017, alors qu'un tel impôt ne pouvait pas être prélevé. La requête en évacuation était ainsi irrecevable.</w:t>
      </w:r>
    </w:p>
    <w:p>
      <w:r>
        <w:rPr>
          <w:b/>
        </w:rPr>
        <w:t>E. 3.1</w:t>
      </w:r>
    </w:p>
    <w:p>
      <w:r>
        <w:t>La procédure de protection de cas clair n'est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w:t>
      </w:r>
    </w:p>
    <w:p>
      <w:r>
        <w:rPr>
          <w:b/>
        </w:rPr>
        <w:t>E. 3.3</w:t>
      </w:r>
    </w:p>
    <w:p>
      <w:r>
        <w:t>Lorsque sévit la pénurie de logement à l'intérieur d'un canton, celui-ci peut décider de rendre obligatoire l'utilisation de la formule officielle au sens de l'art. 269d CO lors de la conclusion de tout nouveau bail (art. 270 al. 2 CO). Puisque la disposition mentionne uniquement «la pénurie de logement», elle ne concerne de fait que les baux portant sur une habitation (ATF 117 Ia 328 consid. 3b; arrêt du Tribunal fédéral 4A_250/2012 du 28 août 2012 consid. 2.2) ou les baux portant principalement sur un logement, mais non les baux de locaux commerciaux (arrêt du Tribunal fédéral 4C.43/2001 du 20 juin 2001 publié à la SJ 2002 I p. 31). Le canton de Genève a fait usage de cette faculté. L'art. 207 al. 1 LaCC stipule que tant que dure la pénurie, le bailleur d'habitation sis dans le canton de Genève doit faire usage, à l'occasion de la conclusion d'un nouveau bail, de la formule officielle prévue par l'art. 270 al. 2 CO. Le Règlement genevois relatif à la pénurie en matière d'habitations et de locaux commerciaux (RPHLC - I 4 45.06) fixe, à son art. 1 al. 1, qu'il y a pénurie au sens de l'art. 207 LaCC, lorsque le taux des logements vacants, considéré par catégorie, est inférieur à 2% du parc immobilier de la même catégorie. Il résulte de l'art. 207 LaCC et de l'arrêté du Conseil d'Etat déterminant les catégories où sévit la pénurie que seuls les logements d'habitation sont expressément soumis à l'obligation de faire usage d'une formule officielle à la conclusion d'un nouveau bail, à l'exclusion notamment des locations commerciales. L'extension de l'usage de la formule officielle ne s'applique pas non plus aux emplacements de parking, garages ou autres boxes, quand bien même ils seraient cédés en même temps qu'une habitation principale. En effet, la réglementation genevoise ne le prévoit pas, limitant expressément le champ d'application aux logements d'habitation.</w:t>
      </w:r>
    </w:p>
    <w:p>
      <w:r>
        <w:rPr>
          <w:b/>
        </w:rPr>
        <w:t>E. 3.4</w:t>
      </w:r>
    </w:p>
    <w:p>
      <w:r>
        <w:t>En l'espèce, il est constant que les parties étaient liées par six contrats, portant sur respectivement des locaux commerciaux et cinq places de stationnement. Les appelantes n'ont ni allégué ni démontré l'existence d'une pénurie portant sur des locaux commerciaux ou des places de stationnement. Conformément à la jurisprudence éprouvée en la matière, l'usage de la formule officielle dans le canton de Genève n'est nécessaire que s'agissant de locaux d'habitation, à l'exclusion de toute autre usage. Il s'ensuit que c'est à bon droit que les premiers juges ont retenu que l'usage d'une formule officielle n'était pas obligatoire lors de la fixation du loyer initial de locaux commerciaux et de places de stationnement, aucune protection particulière n'ayant été réservée à ce type d'objet tant par la législation fédérale que par la législation cantonale genevoise. Les loyers réclamés par l'intimée étaient par conséquent exigibles. L'argument des appelantes tombe donc à faux. Les appelantes allèguent que le loyer était soumis, jusqu'à la fin de l'année 2017 à la TVA, alors que cet impôt n'était pas dû, représentant un montant en leur faveur de 7'614 fr. Elles remettent également en cause la facture de charges de l'intimée. Même si la Cour devait retenir que la TVA n'était pas due, ainsi que la facture de frais accessoires, il n'en demeure pas moins que les appelantes n'ont pas contesté ne pas avoir payé même un loyer "réduit" durant la période litigieuse. Par ailleurs, elles ont admis n'avoir versé aucun loyer durant l'année 2018 à l'intimée. Elles n'ont par conséquent pas réglé le montant qu'elles reconnaissaient à tout le moins devoir. Les conditions de la résiliation extraordinaire sont réunies, de sorte que le congé est efficace. Conformément à la jurisprudence, la procédure en paiement actuellement pendante devant la juridiction des baux et loyers ne fait pas obstacle à la procédure de cas clair. Dès lors, c'est à bon droit que le Tribunal a prononcé l'évacuation des appelantes des locaux en cause, le cas étant clair. Le jugement sera dès lors confirmé. Les appelantes remettent en cause leur condamnation à verser le montant de 73'907 fr. 15. Elles ne formulent toutefois aucune critique motivée à cet égard, de sorte que leur appel est irrecevable sur ce point (art. 311 CPC).</w:t>
      </w:r>
    </w:p>
    <w:p>
      <w:r>
        <w:rPr>
          <w:b/>
        </w:rPr>
        <w:t>E. 3.5</w:t>
      </w:r>
    </w:p>
    <w:p>
      <w:r>
        <w:t>Les mesures d'exécution n'ayant pas été contestées par les appelants, elles ne seront pas examinées par la Cour.</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mai 2018 par A______ et B______ contre le jugement JTBL/432/2018 rendu le 18 mai 2018 par le Tribunal des baux et loyers dans la cause C/6373/2018-8-SE. Au fond : Confirme ce jugement. Dit que la procédure est gratuite. Déboute les parties de toutes autres conclusions. Siégeant : Madame Nathalie LANDRY-BARTHE, présidente; Monsieur Laurent RIEBEN et Madame Fabienne GEISINGER-MARIETHOZ, juges; Madame Laurence CRUCHON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