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C/6321/2015 vom 21. September 2015</w:t>
      </w:r>
    </w:p>
    <w:p>
      <w:r>
        <w:t>GE Cour de justice, 2015-09-21, FR</w:t>
      </w:r>
    </w:p>
    <w:p>
      <w:r>
        <w:rPr>
          <w:b/>
        </w:rPr>
        <w:t xml:space="preserve">Quelle: </w:t>
      </w:r>
      <w:r>
        <w:t>https://mcp.opencaselaw.ch/entscheid/ge_gerichte_C_6321_2015</w:t>
      </w:r>
    </w:p>
    <w:p>
      <w:r>
        <w:t>FR: GE_GERICHTE C/6321/2015 du 21 septembre 2015</w:t>
      </w:r>
    </w:p>
    <w:p>
      <w:r>
        <w:t>IT: GE_GERICHTE C/6321/2015 del 21 settembre 2015</w:t>
      </w:r>
    </w:p>
    <w:p>
      <w:pPr>
        <w:pStyle w:val="Heading2"/>
      </w:pPr>
      <w:r>
        <w:t>Regeste</w:t>
      </w:r>
    </w:p>
    <w:p>
      <w:r>
        <w:t>DÉCISION D'IRRECEVABILITÉ; RESTITUTION DU DÉLAI | CPC.311</w:t>
      </w:r>
    </w:p>
    <w:p>
      <w:pPr>
        <w:pStyle w:val="Heading2"/>
      </w:pPr>
      <w:r>
        <w:t>Erwägungen</w:t>
      </w:r>
    </w:p>
    <w:p>
      <w:r>
        <w:rPr>
          <w:b/>
        </w:rPr>
        <w:t>E. 1</w:t>
      </w:r>
    </w:p>
    <w:p>
      <w:r>
        <w:t>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D'après le Tribunal fédéral, l'octroi d'une restitution n'est jamais une décision finale en tant que, précisément, elle permet l'accomplissement d'un acte de procédure par la partie défaillante, dans le délai restitué, ou la tenue d'une nouvelle audience. Le refus de la restitution est en revanche une décision finale lorsque l'autorité de conciliation ou le tribunal de première instance a déjà clos la procédure et que la requête de la partie défaillante tend à la faire rouvrir (arrêt du Tribunal fédéral 4A_137/2013 du 7 novembre 2013 consid. 6.3). Selon la jurisprudence constante du Tribunal fédéral,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Schweizerische Zivilprozessordnung, 2 ème édition, 2013, n. 9 ad art. 308 CPC). La valeur litigieuse est déterminée par les dernières conclusions de première instance (art. 91 al. 1 CPC; Jeandin, Code de procédure civile commenté, Bâle, 2011, n. 13 ad art. 308 CPC; arrêt du Tribunal fédéral 4A_594/2012 du 28 février 2013). Selon la jurisprudence, s'agissant d'une procédure relative à une évacuation, dans laquelle la question de l'annulation, respectivement de la prolongation du bail, ne se pose pas, l'intérêt économique du bailleur peut être assimilé à la valeur que représente l'usage des locaux pendant la période où le déguerpissement du locataire ne peut pas être exécuté par la force publique (arrêts du Tribunal fédéral 4A_178/2012 du 11 avril 2012 consid. 2; 4A_574/2011 du 24 novembre 2011 consid. 1.1; 4A_72/2007 du 22 août 2007 consid. 2.2). La Chambre des baux et loyers de la Cour de justice a, de manière constante, estimé la durée de cette période à neuf mois (trois mois de procédure devant la Cour de justice, trente jours pour recourir au Tribunal fédéral, quatre mois de procédure devant le Tribunal fédéral et trente jours pour la force publique pour procéder à l'évacuation).</w:t>
      </w:r>
    </w:p>
    <w:p>
      <w:r>
        <w:rPr>
          <w:b/>
        </w:rPr>
        <w:t>E. 1.2</w:t>
      </w:r>
    </w:p>
    <w:p>
      <w:r>
        <w:t>En l'espèce, le refus de convoquer une nouvelle audience, après que la décision au fond a été rendue, est une décision finale, au sens défini ci-dessus. La procédure au fond dans laquelle s'inscrit la décision querellée est une procédure en évacuation pour défaut de paiement, déterminante pour le calcul de la valeur litigieuse. Le loyer mensuel étant de 1'200 fr., la valeur litigieuse est supérieure à 10'000 fr. (9 x 1'200 fr.), de sorte que la voie de l'appel est ouverte.</w:t>
      </w:r>
    </w:p>
    <w:p>
      <w:r>
        <w:rPr>
          <w:b/>
        </w:rPr>
        <w:t>E. 1.3</w:t>
      </w:r>
    </w:p>
    <w:p>
      <w:r>
        <w:t>L'appel doit être formé par un mémoire écrit et motivé, adressé au greffe de la Cour et comporter les conclusions de l'appelant (art. 311 al. 1 CPC; arrêt du Tribunal fédéral 4A_587/2012 du 9 janvier 2013 consid. 2; Jeandin, op. cit ., n. 2 ad art. 311). Les conclusions doivent indiquer sur quels points la partie appelante demande la modification ou l'annulation de la décision attaquée; en principe, ces conclusions doivent être libellées de telle manière que l'autorité d'appel puisse, s'il y a lieu, les incorporer sans modification au dispositif de sa propre décision. Elles doivent être formulées clairement, de manière à éviter toute hésitation sur l'objet de la demande (arrêts du Tribunal fédéral 4A_587/2012 du 9 janvier 2013 consid. 2; 4P.228/2003 du 19 janvier 2004 consid. 2.2 dont la teneur reste applicable sous le CPC [Jeandin, op. cit ., n° 2 ad art. 311; Tappy, in CPC, Code de Procédure civile commenté, Bâle, 2011, n. 11 ad art. 221]). Compte tenu du fait que l'appel ordinaire a un effet réformatoire, l'appelant ne saurait - sous peine d'irrecevabilité - se limiter à conclure à l'annulation de la décision attaquée mais devra au contraire, prendre des conclusions au fond permettant à l'instance d'appel de statuer à nouveau (Jeandin, op. cit., n. 4 ad art. 311). L'interdiction du formalisme excessif commande d'entrer exceptionnellement en matière sur un appel formellement dépourvu de conclusions, si ce que demande l'appelant résulte de sa motivation, cas échéant en relation avec le jugement attaqué (ATF 137 III 617 consid. 6.2). Que la cause soit soumise à la maxime des débats ou à la maxime inquisitoire, il incombe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rPr>
          <w:b/>
        </w:rPr>
        <w:t>E. 1.4</w:t>
      </w:r>
    </w:p>
    <w:p>
      <w:r>
        <w:t>Lorsque la décision a été rendue en procédure sommaire, le délai pour l'introduction de l'appel et le dépôt de la réponse est de dix jours (art. 314 al. 1 CPC). Il résulte du principe de la bonne foi que l'indication inexacte des voies de droit ne peut en principe causer aucun préjudice à la partie qui ne connaissait pas - directement ou par son mandataire- cette inexactitude, ni ne pouvait la reconnaître en faisant preuve de l'attention usuelle. La protection de la confiance n'est refusée qu'à la partie dont la négligence est grossière, ce qui s'apprécie eu égard à ses connaissances juridiques et aux circonstances concrètes. Il faut que l'inexactitude soit reconnaissable déjà à la lecture des dispositions de procédure topiques; l'on n'exige en revanche pas qu'en sus du texte de la loi, l'intéressé compulse encore la jurisprudence ou la doctrine relatives à la question (ATF 135 III 374 consid. 1.2.2.1 et réf., SJ 2009 I 358; arrêts du Tribunal fédéral 5A_536/2011 du 12 décembre 2011 consid. 4.1 et 4.3.5 et 4A_121/2012 du 10 septembre 2012 consid. 2.6.1).</w:t>
      </w:r>
    </w:p>
    <w:p>
      <w:r>
        <w:rPr>
          <w:b/>
        </w:rPr>
        <w:t>E. 1.5</w:t>
      </w:r>
    </w:p>
    <w:p>
      <w:r>
        <w:t>En l'espèce, on comprend du courrier de l'appelant, qui agit en personne, qu'il sollicite l'annulation du jugement refusant qu'une nouvelle audience soit convoquée, et la convocation d'une audience. Cela étant, il ne fait pas valoir de grief particulier contre le jugement querellé, se limitant à exposer des arguments relevant de la procédure d'évacuation, laquelle a fait l'objet d'un jugement contre lequel il n'a pas interjeté appel. Faute de motivation suffisante, son appel est irrecevable, sans qu'il y ait lieu d'examiner plus avant s'il devait être interjeté dans le délai de dix jours, s'agissant d'une procédure sommaire (art. 257 CPC), ou dans celui de trente jours tel qu'indiqué par le Tribunal au pied de la décision.</w:t>
      </w:r>
    </w:p>
    <w:p>
      <w:r>
        <w:rPr>
          <w:b/>
        </w:rPr>
        <w:t>E. 2</w:t>
      </w:r>
    </w:p>
    <w:p>
      <w:r>
        <w:t>Aurait-il été recevable que l'appel serait de toute façon infondé.</w:t>
      </w:r>
    </w:p>
    <w:p>
      <w:r>
        <w:rPr>
          <w:b/>
        </w:rPr>
        <w:t>E. 2.1</w:t>
      </w:r>
    </w:p>
    <w:p>
      <w:r>
        <w:t>Le Tribunal peut accorder un délai supplémentaire ou citer les parties à une nouvelle audience lorsque la partie défaillante en fait la requête et rend vraisemblable que le défaut ne lui est pas imputable ou n'est imputable qu'à une faute légère. La requête est présentée dans les dix jours qui suivent celui où la cause du défaut a disparu (art. 148 al. 1 et 2 CPC). Le tribunal donne à la partie adverse l'occasion de s'exprimer et statue définitivement sur la restitution (art. 149 CPC).</w:t>
      </w:r>
    </w:p>
    <w:p>
      <w:r>
        <w:rPr>
          <w:b/>
        </w:rPr>
        <w:t>E. 2.2</w:t>
      </w:r>
    </w:p>
    <w:p>
      <w:r>
        <w:t>En l'espèce, le pli recommandé contenant la convocation à l'audience du 6 mai 2015 a été retiré par l'appelant le 17 avril 2015, date à laquelle il est censé en avoir eu connaissance. Ce pli lui a de surcroît été adressé par pli simple du même jour. Dans sa requête du 2 juin 2015, l'appelant se contente d'indiquer qu'il n'a pris connaissance de la convocation qu'avec retard, sans préciser à quel moment exactement ni ce qu'il en est du pli retiré le 17 avril 2015. Au surplus, dans la mesure où le jugement prononçant son évacuation lui a été notifié en mains propres le 13 mai 2015, il est douteux qu'il ait eu connaissance de cette convocation postérieurement à cette date, de sorte que sa requête paraissait tardive. C'est donc à bon droit que les premiers juges ont rejeté la requête de l'appelant en fixation d'une nouvelle audience.</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Déclare irrecevable l'appel interjeté le 12 juin 2015 par A______ contre le jugement JTBL/691/2015 rendu le 3 juin 2015 par le Tribunal des baux et loyers dans la cause C/6321/2015-7 SE. Siégeant : Madame Nathalie LANDRY-BARTHE, présidente; Madame Sylvie DROIN et Madame Pauline ERARD, juges;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