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C/6294/2024 vom 2. August 2024</w:t>
      </w:r>
    </w:p>
    <w:p>
      <w:r>
        <w:t>GE Cour de justice, 2024-08-02, FR</w:t>
      </w:r>
    </w:p>
    <w:p>
      <w:r>
        <w:rPr>
          <w:b/>
        </w:rPr>
        <w:t xml:space="preserve">Quelle: </w:t>
      </w:r>
      <w:r>
        <w:t>https://mcp.opencaselaw.ch/entscheid/ge_gerichte_C_6294_2024</w:t>
      </w:r>
    </w:p>
    <w:p>
      <w:r>
        <w:t>FR: GE_GERICHTE C/6294/2024 du 2 août 2024</w:t>
      </w:r>
    </w:p>
    <w:p>
      <w:r>
        <w:t>IT: GE_GERICHTE C/6294/2024 del 2 agosto 2024</w:t>
      </w:r>
    </w:p>
    <w:p>
      <w:pPr>
        <w:pStyle w:val="Heading2"/>
      </w:pPr>
      <w:r>
        <w:t>Volltext</w:t>
      </w:r>
    </w:p>
    <w:p>
      <w:r>
        <w:t>Genf Cour de Justice (Cour civile) Chambre civile 02.08.2024 C/6294/2024 Genève Cour de Justice (Cour civile) Chambre civile 02.08.2024 C/6294/2024 Ginevra Cour de Justice (Cour civile) Chambre civile 02.08.2024 C/6294/2024</w:t>
      </w:r>
    </w:p>
    <w:p>
      <w:r>
        <w:t>C/6294/2024 ACJC/970/2024 du 02.08.2024 sur OTPI/445/2024 ( SDF ) Par ces motifs RÉPUBLIQUE ET CANTON DE GENÈVE POUVOIR JUDICIAIRE C/6294/2024 ACJC/970/2024 ARRÊT DE LA COUR DE JUSTICE Chambre civile DU VENDREDI 2 AOÛT 2024 Entre Madame A______ , domiciliée ______ [GE], appelante d'une ordonnance rendue par la 13 ème Chambre du Tribunal de première instance de ce canton le 10 juillet 2024, représentée par Me Sandy ZAECH, avocate, TerrAvocats Genève, rue Saint-Joseph 29, case postale 1748, 1227 Carouge, et Monsieur B______ , domicilié ______ [VS], intimé, représenté par Me Christel BURRI, avocate, ABC Avocats, rue Juste Olivier 16, case postale 1095, 1260 Nyon 1. Attendu, EN FAIT , que par ordonnance de preuve OTPI/445/2024 du 10 juillet 2024, le Tribunal de première instance a modifié le chiffre 7 du jugement de divorce du 14 mars 2022 modifié par arrêt de la Cour de justice du 31 janvier 2023 en tant qu'il avait condamné B______ à verser en mains de A______ par mois et d'avance, allocations familiales non comprises, 1'500 fr. jusqu'au 31 août 2024 puis 1'300 fr. dès le 1 er septembre 2024 à titre de contribution à l'enfant C______ né le ______ 2012, dans le sens d'une contribution de 220 fr. du 14 mars au 31 août 2024 puis d'une dispense de contribution dès le 1 er septembre 2024; Que par acte du 22 juillet 2024, A______ a formé appel contre cette ordonnance, concluant à l'annulation de celle-ci, sous suite de frais et dépens; Qu'à titre préalable, elle a requis l'octroi de l'effet suspensif à son appel, faisant valoir que sa situation, et celle de son fils par voie de conséquence, était financièrement précaire, qu'elle était en incapacité de travail et ne survivait que par des dons de proches et des versements du SCARPA, alors que B______ était sans doute au bénéfice d'un emploi ; Qu'invitée à se déterminer sur la requête d'effet suspensif, B______ s'est opposé à l'octroi de l'effet suspensif, faisant valoir qu'il rechercherait un emploi dans la sécurité, qu'il ne pouvait dès lors s'exposer à des poursuites alors qu'il était dans l'impossibilité d'acquitter les montants de contributions d'entretien déjà fixés; Considérant, EN DROIT ,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compte tenu des situations financières respectives telles qu'alléguées par les parties et de la phase dans laquelle se trouve la procédure, il se justifie de s'en tenir au principe d'absence d'effet suspensif de l'appel; Qu'il sera statué sur les frais et dépens liés à la présente décision avec l'arrêt au fond (art. 104 al. 3 CPC). * * * * * PAR CES MOTIFS, La Chambre civile : Statuant sur requête de suspension du caractère exécutoire de l'ordonnance attaquée : Rejette la requête formée par A______ tendant à suspendre le caractère exécutoire attaché à l'ordonnance OTPI/445/2024 rendue le 10 juillet 2024 par le Tribunal de première instance dans la cause. Dit qu'il sera statué sur les frais liés à la présente décision dans l'arrêt au fond. Siégeant : Madame Sylvie DROIN, présidente ad interim ;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