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C/6118/2021 vom 8. Dezember 2022</w:t>
      </w:r>
    </w:p>
    <w:p>
      <w:r>
        <w:t>GE Cour de justice, 2022-12-08, FR</w:t>
      </w:r>
    </w:p>
    <w:p>
      <w:r>
        <w:rPr>
          <w:b/>
        </w:rPr>
        <w:t xml:space="preserve">Quelle: </w:t>
      </w:r>
      <w:r>
        <w:t>https://mcp.opencaselaw.ch/entscheid/ge_gerichte_C_6118_2021</w:t>
      </w:r>
    </w:p>
    <w:p>
      <w:r>
        <w:t>FR: GE_GERICHTE C/6118/2021 du 8 décembre 2022</w:t>
      </w:r>
    </w:p>
    <w:p>
      <w:r>
        <w:t>IT: GE_GERICHTE C/6118/2021 del 8 dicembre 2022</w:t>
      </w:r>
    </w:p>
    <w:p>
      <w:pPr>
        <w:pStyle w:val="Heading2"/>
      </w:pPr>
      <w:r>
        <w:t>Regeste</w:t>
      </w:r>
    </w:p>
    <w:p>
      <w:r>
        <w:t>LLCA.12; CPC.270.al1; LP.271.al1.ch6; LP.272</w:t>
      </w:r>
    </w:p>
    <w:p>
      <w:pPr>
        <w:pStyle w:val="Heading2"/>
      </w:pPr>
      <w:r>
        <w:t>Erwägungen</w:t>
      </w:r>
    </w:p>
    <w:p>
      <w:r>
        <w:rPr>
          <w:b/>
        </w:rPr>
        <w:t>E. 6</w:t>
      </w:r>
    </w:p>
    <w:p>
      <w:r>
        <w:t>Le recourant reproche au Tribunal d’avoir considéré qu’il ne pouvait exciper de l’art. 185 al. 1 in fine CO, en vertu duquel il ne pouvait être contraint de payer le prix de rachat, dans la mesure où l'intimée était seule responsable de la perte de valeur des titres qu’elle s’était refusée de transférer jusqu’au 13 janvier 2021.</w:t>
      </w:r>
    </w:p>
    <w:p>
      <w:r>
        <w:rPr>
          <w:b/>
        </w:rPr>
        <w:t>E. 6.1</w:t>
      </w:r>
    </w:p>
    <w:p>
      <w:r>
        <w:t>Selon l’art. 185 al. 1 CO, les profits et les risques de la chose passent à l’acquéreur dès la conclusion du contrat, sauf les exceptions résultant de circonstances ou de stipulations particulières. Doctrine et jurisprudence ont tendance à reconnaître l’existence de circonstances particulières lorsque le vendeur garde, principalement dans son intérêt, le pouvoir de disposition sur la chose et qu’il a donc, à l’exclusion de l’acheteur, la possibilité de prendre les mesures nécessaires pour prévenir un dommage (ATF 128 III 370 ; Venturi/Zen-Ruffinen, in Commentaire romand, Code des obligations I, 3 ème éd., 2021, n. 25 ad art. 185 CO, et références citées).</w:t>
      </w:r>
    </w:p>
    <w:p>
      <w:r>
        <w:rPr>
          <w:b/>
        </w:rPr>
        <w:t>E. 6.2</w:t>
      </w:r>
    </w:p>
    <w:p>
      <w:r>
        <w:t>En l’espèce, la créance est due en vertu de la sentence arbitrale du 29 octobre 2020 devenue définitive et exécutoire, et non pas d’un contrat de vente. De plus, il apparaît que la créance est exigible, indépendamment de la valeur actuelle des titres, dès lors que le dispositif de la sentence arbitrale ne fait aucun lien entre la condamnation du recourant et l’injonction faite à sa partie adverse de lui remettre les titres. En tout état de cause, l’art. 185 al. 1 in fine CO ne saurait trouver application dans le cadre de la procédure d’opposition à séquestre, le recourant demeurant libre, s’il l’estime opportun, d’agir en réparation du dommage subi à la suite de la perte de valeur des titres. Le grief du recourant est donc infondé.</w:t>
      </w:r>
    </w:p>
    <w:p>
      <w:r>
        <w:rPr>
          <w:b/>
        </w:rPr>
        <w:t>E. 7</w:t>
      </w:r>
    </w:p>
    <w:p>
      <w:r>
        <w:t>Le recourant reproche enfin au premier juge d'avoir considéré que son argument selon lequel l'addition des deux séquestres obtenus par l'intimée conduirait à un blocage d'avoirs notablement supérieurs à la créance relevait de la plainte de l'art. 17 LP.</w:t>
      </w:r>
    </w:p>
    <w:p>
      <w:r>
        <w:rPr>
          <w:b/>
        </w:rPr>
        <w:t>E. 7.1</w:t>
      </w:r>
    </w:p>
    <w:p>
      <w:r>
        <w:t>Le séquestre est exécuté par l'Office (art. 274 al. 1 LP), lequel applique par analogie les art. 91 à 109 LP relatifs à la saisie (art. 275 LP). L'art. 97 al. 2 LP prévoit que l'office ne saisit - respectivement ne séquestre - que les biens nécessaires pour satisfaire les créanciers saisissants (ou séquestrants) en capital, intérêts et frais. Il en résulte que, lorsqu'il procède à l'exécution d'un séquestre (art. 274 al. 1 LP), l'office doit fixer l'assiette du séquestre, soit le montant nécessaire et suffisant pour satisfaire le créancier séquestrant et au-delà duquel les avoirs visés dans l'ordonnance de séquestre ne peuvent plus être séquestrés (Meier-Dieterle, in KUKO SchKG, 2ème éd. 2014, n. 7 ad art. 275 LP). Un abus de droit en lien avec l'étendue du séquestre notablement supérieure à la créance à garantir doit être soulevé dans la plainte (art. 17 LP). Cet abus a trait à l'exécution du séquestre, dont le principe n'est en revanche pas remis en cause (arrêt du Tribunal fédéral 5A_225/2009 du 10 septembre 2009 consid. 6.2). En effet, bien qu'on reproche un abus de droit au créancier, l'interdiction de séquestrer plus de biens que nécessaire (" Verbot der Überarrestierung ")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du Tribunal fédéral 4C.62/1999 du 14 juillet 1999 consid. 3a et 3b). C'est pourquoi, une ordonnance de séquestre ne doit pas être exécutée si, par le cumul de séquestres, notablement plus de biens sont bloqués qu'il n'est nécessaire pour éteindre la créance que le séquestrant fait valoir (ATF 120 III 49 consid. 2a; arrêt du Tribunal fédéral 5A_947/2012 du 14 mai 2013 consid. 4.1, SJ 2014 I 86).</w:t>
      </w:r>
    </w:p>
    <w:p>
      <w:r>
        <w:rPr>
          <w:b/>
        </w:rPr>
        <w:t>E. 7.2</w:t>
      </w:r>
    </w:p>
    <w:p>
      <w:r>
        <w:t>Il résulte de ce qui précède que le recourant n'est pas fondé à se plaindre, dans le cadre de la présente procédure, de ce que l'exécution du séquestre conduirait à procurer à l'intimée notablement plus de biens que nécessaire à garantir sa créance. Cette question relève de l'exécution du séquestre. Le recours se révèle infondé sur ce point également.</w:t>
      </w:r>
    </w:p>
    <w:p>
      <w:r>
        <w:rPr>
          <w:b/>
        </w:rPr>
        <w:t>E. 8</w:t>
      </w:r>
    </w:p>
    <w:p>
      <w:r>
        <w:t>Pour le reste, et en tant que de besoin, la Cour fait entièrement sienne l'argumentation du Tribunal.</w:t>
      </w:r>
    </w:p>
    <w:p>
      <w:r>
        <w:rPr>
          <w:b/>
        </w:rPr>
        <w:t>E. 9</w:t>
      </w:r>
    </w:p>
    <w:p>
      <w:r>
        <w:t>Les frais judiciaires du recours seront arrêtés à 2'250 fr. (art. 48 et 61 OELP), mis à la charge du recourant, qui succombe (art. 106 al. 1 CPC), et compensés avec l'avance du même montant versée par le celui-ci, acquise à l'Etat de Genève (art. 111 al. 1 CPC). Le recourant sera condamné à verser à l'intimée, 2'000 fr. à titre de dépens de recours, débours compris, étant précisé que l'intimée est sise à l'étranger, de sorte qu'il n'y a pas de TVA à prélever (art. 85, 88, 89 et 90 RTFMC; 23 et 25 LaCC). * * * * * PAR CES MOTIFS, La Chambre civile : A la forme : Déclare recevable le recours interjeté le 25 octobre 2021 par A______ contre le jugement OSQ/54/2021 rendu le 11 octobre 2021 par le Tribunal de première instance dans la cause C/6118/2021 SQP. Au fond : Le rejette. Déboute les parties de toutes autres conclusions. Sur les frais : Arrête les frais judiciaires de recours à 2'250 fr., les met à la charge de A______ et les compense avec l'avance effectuée, laquelle demeure acquise à l'Etat de Genève. Condamne A______ à verser à B______ LTD 2'000 fr. à titre de dépens de recours. Siégeant : Monsieur Laurent RIEBEN, président; Madame Fabienne GEISINGER-MARIETHOZ, Monsieur Ivo BUETTI,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