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C/5955/2011 vom 28. September 2012</w:t>
      </w:r>
    </w:p>
    <w:p>
      <w:r>
        <w:t>GE Cour de justice, 2012-09-28, FR</w:t>
      </w:r>
    </w:p>
    <w:p>
      <w:r>
        <w:rPr>
          <w:b/>
        </w:rPr>
        <w:t xml:space="preserve">Quelle: </w:t>
      </w:r>
      <w:r>
        <w:t>https://mcp.opencaselaw.ch/entscheid/ge_gerichte_C_5955_2011</w:t>
      </w:r>
    </w:p>
    <w:p>
      <w:r>
        <w:t>FR: GE_GERICHTE C/5955/2011 du 28 septembre 2012</w:t>
      </w:r>
    </w:p>
    <w:p>
      <w:r>
        <w:t>IT: GE_GERICHTE C/5955/2011 del 28 settembre 2012</w:t>
      </w:r>
    </w:p>
    <w:p>
      <w:pPr>
        <w:pStyle w:val="Heading2"/>
      </w:pPr>
      <w:r>
        <w:t>Regeste</w:t>
      </w:r>
    </w:p>
    <w:p>
      <w:r>
        <w:t>RÉVISION(DÉCISION); DÉLAI ; ADMINISTRATION DES PREUVES; DROIT D'ÊTRE ENTENDU | 1.Le jugement qui déclare la demande en révison irrecevable est une décision finale. La voie de recours est ainsi celle qui aurait été ouverte contre la décision d'origine (consid. 1.1) 2. La convention sur les effets du divorce ratifiée par le juge peut être assimilée à une transaction au sens de l'art. 328 al. 1 let. c CPC (consid. 2.2). 3. Une transaction se concluant sur la base de concessions réciproques faites en considération des risques inhérents à la procédure, le juge n'admettra pas à la légère l'invalidité d'une transaction (consid. 2.2). 4. Le délai de l'art. 329 CPC pour demander la révision prévaut sur celui de l'art. 31 CO. Il incombe au demandeur en révision d'établir qu'il a fait preuve de la diligence requise et qu'il n'aurait pas pu raisonnablement avoir une connaissance de l'élément découvert avant la date qu'il invoque (consid. 2.2.2). Le refus d'ordonner des mesures probatoires ne viole le droit d'être entendu des parties que si l'appréciation anticipée de la pertinence du moyen de preuve offert, à laquelle le juge a ainsi procédé, est entachée d'arbitraire (consid. 2.2.3). | CPC.328 Cst.29</w:t>
      </w:r>
    </w:p>
    <w:p>
      <w:pPr>
        <w:pStyle w:val="Heading2"/>
      </w:pPr>
      <w:r>
        <w:t>Erwägungen</w:t>
      </w:r>
    </w:p>
    <w:p>
      <w:r>
        <w:rPr>
          <w:b/>
        </w:rPr>
        <w:t>E. 3</w:t>
      </w:r>
    </w:p>
    <w:p>
      <w:r>
        <w:t>Les frais judiciaires d'appel seront fixés à 1'000 fr. (art. 95 CPC, 35 et 43 du Règlement fixant le tarif des greffes en matière civile), qui correspondent à l'avance effectuée par l'appelant. Les dépens d'appel seront arrêtés à 3'000 fr., TVA et débours compris (art. 84, 85, 87 et 90 RFTMC). Compte tenu du renvoi de la cause au Tribunal, cette autorité se chargera de la répartition des frais dans la décision finale (art. 104 al. 4 CPC). * * * * * PAR CES MOTIFS, La Chambre civile : A la forme : Déclare recevable l'appel interjeté par X ______ contre le jugement JTPI/2406/2012 rendu le 20 février 2012 par le Tribunal de première instance dans la cause C/5955/2011-13. Au fond : Annule ce jugement. Renvoie la cause au Tribunal afin qu'il statue à nouveau au sens des considérants. Sur les frais d'appel : Arrête les frais judiciaires d'appel à 2'000 fr. et les dépens d'appel à 3'000 fr. Délègue la répartition des frais de la procédure d'appel au Tribunal de première instance. Siégeant : Madame Marguerite JACOT-DES-COMBES, présidente; Madame Florence KRAUSKOPF, Monsieur Blaise PAGAN, juges; Madame Nathalie DESCHAMPS, greffière. La présidente : Marguerite JACOT-DES-COMBES La greffière : Nathalie DESCHAMPS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